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EEA8" w14:textId="126CA569"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ACUERDO DE TABLA DE APLICABILIDAD DE LAS OBLIGACIONES DE TRANSPARENCIA </w:t>
      </w:r>
      <w:r w:rsidR="00A55A73">
        <w:rPr>
          <w:rFonts w:ascii="Tofino Regular" w:eastAsia="Tofino Regular" w:hAnsi="Tofino Regular" w:cs="Tofino Regular"/>
          <w:b/>
          <w:sz w:val="20"/>
          <w:szCs w:val="20"/>
        </w:rPr>
        <w:t>COMUNES DE</w:t>
      </w:r>
      <w:r>
        <w:rPr>
          <w:rFonts w:ascii="Tofino Regular" w:eastAsia="Tofino Regular" w:hAnsi="Tofino Regular" w:cs="Tofino Regular"/>
          <w:b/>
          <w:sz w:val="20"/>
          <w:szCs w:val="20"/>
        </w:rPr>
        <w:t xml:space="preserve"> LA AGENCIA DE TRANSPORTE DE YUCATÁN, EN TÉRMINOS DEL ÚLTIMO PÁRRAFO DEL ARTÍCULO 70 DE LA LEY GENERAL DE TRANSPARENCIA Y ACCESO A LA INFORMACIÓN PÚBLICA.</w:t>
      </w:r>
    </w:p>
    <w:p w14:paraId="7B399DE9" w14:textId="77777777" w:rsidR="00AD0543" w:rsidRDefault="00AD0543">
      <w:pPr>
        <w:jc w:val="both"/>
        <w:rPr>
          <w:rFonts w:ascii="Tofino Regular" w:eastAsia="Tofino Regular" w:hAnsi="Tofino Regular" w:cs="Tofino Regular"/>
          <w:b/>
          <w:sz w:val="20"/>
          <w:szCs w:val="20"/>
        </w:rPr>
      </w:pPr>
    </w:p>
    <w:p w14:paraId="6C6BEFA6" w14:textId="61DE5324"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sz w:val="20"/>
          <w:szCs w:val="20"/>
        </w:rPr>
        <w:t xml:space="preserve">En la ciudad de Mérida, Yucatán, mediante sesión ordinaria del Pleno de fecha </w:t>
      </w:r>
      <w:r w:rsidR="00A55A73">
        <w:rPr>
          <w:rFonts w:ascii="Tofino Regular" w:eastAsia="Tofino Regular" w:hAnsi="Tofino Regular" w:cs="Tofino Regular"/>
          <w:sz w:val="20"/>
          <w:szCs w:val="20"/>
        </w:rPr>
        <w:t>diecinueve</w:t>
      </w:r>
      <w:r>
        <w:rPr>
          <w:rFonts w:ascii="Tofino Regular" w:eastAsia="Tofino Regular" w:hAnsi="Tofino Regular" w:cs="Tofino Regular"/>
          <w:sz w:val="20"/>
          <w:szCs w:val="20"/>
        </w:rPr>
        <w:t xml:space="preserve"> de diciembre de dos mil veinticuatro,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03D5A4D3" w14:textId="77777777" w:rsidR="00AD0543" w:rsidRDefault="00AD0543">
      <w:pPr>
        <w:jc w:val="center"/>
        <w:rPr>
          <w:rFonts w:ascii="Tofino Regular" w:eastAsia="Tofino Regular" w:hAnsi="Tofino Regular" w:cs="Tofino Regular"/>
          <w:b/>
          <w:sz w:val="20"/>
          <w:szCs w:val="20"/>
        </w:rPr>
      </w:pPr>
    </w:p>
    <w:p w14:paraId="3620ED52"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ANTECEDENTES</w:t>
      </w:r>
    </w:p>
    <w:p w14:paraId="5C05FDCC" w14:textId="77777777" w:rsidR="00A55A73" w:rsidRDefault="00A55A73">
      <w:pPr>
        <w:jc w:val="center"/>
        <w:rPr>
          <w:rFonts w:ascii="Tofino Regular" w:eastAsia="Tofino Regular" w:hAnsi="Tofino Regular" w:cs="Tofino Regular"/>
          <w:b/>
          <w:sz w:val="20"/>
          <w:szCs w:val="20"/>
        </w:rPr>
      </w:pPr>
    </w:p>
    <w:p w14:paraId="283D453F" w14:textId="77777777" w:rsidR="00AD0543" w:rsidRDefault="002D289F">
      <w:pPr>
        <w:jc w:val="both"/>
        <w:rPr>
          <w:rFonts w:ascii="Tofino Regular" w:eastAsia="Tofino Regular" w:hAnsi="Tofino Regular" w:cs="Tofino Regular"/>
          <w:sz w:val="20"/>
          <w:szCs w:val="20"/>
        </w:rPr>
      </w:pPr>
      <w:bookmarkStart w:id="0" w:name="_heading=h.gjdgxs" w:colFirst="0" w:colLast="0"/>
      <w:bookmarkEnd w:id="0"/>
      <w:r>
        <w:rPr>
          <w:rFonts w:ascii="Tofino Regular" w:eastAsia="Tofino Regular" w:hAnsi="Tofino Regular" w:cs="Tofino Regular"/>
          <w:b/>
          <w:sz w:val="20"/>
          <w:szCs w:val="20"/>
        </w:rPr>
        <w:t>PRIMERO.-</w:t>
      </w:r>
      <w:r>
        <w:t xml:space="preserve"> </w:t>
      </w:r>
      <w:r>
        <w:rPr>
          <w:rFonts w:ascii="Tofino Regular" w:eastAsia="Tofino Regular" w:hAnsi="Tofino Regular" w:cs="Tofino Regular"/>
          <w:sz w:val="20"/>
          <w:szCs w:val="20"/>
        </w:rPr>
        <w:t>El 12 de septiembre de 2022, se publicó en el Diario Oficial del Gobierno del Estado de Yucatán, el Decreto 555/2022 por el que se modifica la Constitución Política del Estado de Yucatán, en materia de movilidad y seguridad vial y se emite la Ley de Movilidad y Seguridad Vial del Estado de Yucatán, mismo que entró en vigor al día siguiente de su publicación, mediante el cual se crea la Agencia de Transporte de Yucatán, como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51964F49" w14:textId="77777777" w:rsidR="00AD0543" w:rsidRDefault="00AD0543">
      <w:pPr>
        <w:jc w:val="both"/>
        <w:rPr>
          <w:rFonts w:ascii="Tofino Regular" w:eastAsia="Tofino Regular" w:hAnsi="Tofino Regular" w:cs="Tofino Regular"/>
          <w:sz w:val="20"/>
          <w:szCs w:val="20"/>
        </w:rPr>
      </w:pPr>
    </w:p>
    <w:p w14:paraId="0E6C95B7" w14:textId="77777777" w:rsidR="00AD0543" w:rsidRDefault="002D289F">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proofErr w:type="gramEnd"/>
      <w:r>
        <w:rPr>
          <w:rFonts w:ascii="Tofino Regular" w:eastAsia="Tofino Regular" w:hAnsi="Tofino Regular" w:cs="Tofino Regular"/>
          <w:sz w:val="20"/>
          <w:szCs w:val="20"/>
        </w:rPr>
        <w:t xml:space="preserve"> En fecha 18 de julio de 2024, mediante sesión ordinaria del Pleno de este Instituto, se aprobó la actualización y modificación del Padrón de Sujetos Obligados del Estado de Yucatán, incorporándose como nuevo sujeto obligado a la Agencia de Transporte de Yucatán.</w:t>
      </w:r>
    </w:p>
    <w:p w14:paraId="41F53E4E" w14:textId="77777777" w:rsidR="00345651" w:rsidRDefault="00345651">
      <w:pPr>
        <w:jc w:val="both"/>
        <w:rPr>
          <w:rFonts w:ascii="Tofino Regular" w:eastAsia="Tofino Regular" w:hAnsi="Tofino Regular" w:cs="Tofino Regular"/>
          <w:sz w:val="20"/>
          <w:szCs w:val="20"/>
        </w:rPr>
      </w:pPr>
    </w:p>
    <w:p w14:paraId="31464619" w14:textId="13BBD2E8" w:rsidR="00345651" w:rsidRDefault="00345651">
      <w:pPr>
        <w:jc w:val="both"/>
        <w:rPr>
          <w:rFonts w:ascii="Tofino Regular" w:eastAsia="Tofino Regular" w:hAnsi="Tofino Regular" w:cs="Tofino Regular"/>
          <w:sz w:val="20"/>
          <w:szCs w:val="20"/>
        </w:rPr>
      </w:pPr>
      <w:proofErr w:type="gramStart"/>
      <w:r w:rsidRPr="00345651">
        <w:rPr>
          <w:rFonts w:ascii="Tofino Regular" w:eastAsia="Tofino Regular" w:hAnsi="Tofino Regular" w:cs="Tofino Regular"/>
          <w:b/>
          <w:bCs/>
          <w:sz w:val="20"/>
          <w:szCs w:val="20"/>
        </w:rPr>
        <w:t>TERCERO.-</w:t>
      </w:r>
      <w:proofErr w:type="gramEnd"/>
      <w:r>
        <w:rPr>
          <w:rFonts w:ascii="Tofino Regular" w:eastAsia="Tofino Regular" w:hAnsi="Tofino Regular" w:cs="Tofino Regular"/>
          <w:sz w:val="20"/>
          <w:szCs w:val="20"/>
        </w:rPr>
        <w:t xml:space="preserve"> </w:t>
      </w:r>
      <w:r w:rsidRPr="00345651">
        <w:rPr>
          <w:rFonts w:ascii="Tofino Regular" w:eastAsia="Tofino Regular" w:hAnsi="Tofino Regular" w:cs="Tofino Regular"/>
          <w:sz w:val="20"/>
          <w:szCs w:val="20"/>
        </w:rPr>
        <w:t xml:space="preserve">En fecha </w:t>
      </w:r>
      <w:r>
        <w:rPr>
          <w:rFonts w:ascii="Tofino Regular" w:eastAsia="Tofino Regular" w:hAnsi="Tofino Regular" w:cs="Tofino Regular"/>
          <w:sz w:val="20"/>
          <w:szCs w:val="20"/>
        </w:rPr>
        <w:t>13</w:t>
      </w:r>
      <w:r w:rsidRPr="00345651">
        <w:rPr>
          <w:rFonts w:ascii="Tofino Regular" w:eastAsia="Tofino Regular" w:hAnsi="Tofino Regular" w:cs="Tofino Regular"/>
          <w:sz w:val="20"/>
          <w:szCs w:val="20"/>
        </w:rPr>
        <w:t xml:space="preserve"> de </w:t>
      </w:r>
      <w:r>
        <w:rPr>
          <w:rFonts w:ascii="Tofino Regular" w:eastAsia="Tofino Regular" w:hAnsi="Tofino Regular" w:cs="Tofino Regular"/>
          <w:sz w:val="20"/>
          <w:szCs w:val="20"/>
        </w:rPr>
        <w:t>diciembre</w:t>
      </w:r>
      <w:r w:rsidRPr="00345651">
        <w:rPr>
          <w:rFonts w:ascii="Tofino Regular" w:eastAsia="Tofino Regular" w:hAnsi="Tofino Regular" w:cs="Tofino Regular"/>
          <w:sz w:val="20"/>
          <w:szCs w:val="20"/>
        </w:rPr>
        <w:t xml:space="preserve"> de 202</w:t>
      </w:r>
      <w:r>
        <w:rPr>
          <w:rFonts w:ascii="Tofino Regular" w:eastAsia="Tofino Regular" w:hAnsi="Tofino Regular" w:cs="Tofino Regular"/>
          <w:sz w:val="20"/>
          <w:szCs w:val="20"/>
        </w:rPr>
        <w:t>4</w:t>
      </w:r>
      <w:r w:rsidRPr="00345651">
        <w:rPr>
          <w:rFonts w:ascii="Tofino Regular" w:eastAsia="Tofino Regular" w:hAnsi="Tofino Regular" w:cs="Tofino Regular"/>
          <w:sz w:val="20"/>
          <w:szCs w:val="20"/>
        </w:rPr>
        <w:t xml:space="preserve">, a través del oficio </w:t>
      </w:r>
      <w:proofErr w:type="spellStart"/>
      <w:r>
        <w:rPr>
          <w:rFonts w:ascii="Tofino Regular" w:eastAsia="Tofino Regular" w:hAnsi="Tofino Regular" w:cs="Tofino Regular"/>
          <w:sz w:val="20"/>
          <w:szCs w:val="20"/>
        </w:rPr>
        <w:t>ATY</w:t>
      </w:r>
      <w:proofErr w:type="spellEnd"/>
      <w:r w:rsidRPr="00345651">
        <w:rPr>
          <w:rFonts w:ascii="Tofino Regular" w:eastAsia="Tofino Regular" w:hAnsi="Tofino Regular" w:cs="Tofino Regular"/>
          <w:sz w:val="20"/>
          <w:szCs w:val="20"/>
        </w:rPr>
        <w:t>/</w:t>
      </w:r>
      <w:proofErr w:type="spellStart"/>
      <w:r w:rsidRPr="00345651">
        <w:rPr>
          <w:rFonts w:ascii="Tofino Regular" w:eastAsia="Tofino Regular" w:hAnsi="Tofino Regular" w:cs="Tofino Regular"/>
          <w:sz w:val="20"/>
          <w:szCs w:val="20"/>
        </w:rPr>
        <w:t>DG</w:t>
      </w:r>
      <w:r>
        <w:rPr>
          <w:rFonts w:ascii="Tofino Regular" w:eastAsia="Tofino Regular" w:hAnsi="Tofino Regular" w:cs="Tofino Regular"/>
          <w:sz w:val="20"/>
          <w:szCs w:val="20"/>
        </w:rPr>
        <w:t>J</w:t>
      </w:r>
      <w:proofErr w:type="spellEnd"/>
      <w:r>
        <w:rPr>
          <w:rFonts w:ascii="Tofino Regular" w:eastAsia="Tofino Regular" w:hAnsi="Tofino Regular" w:cs="Tofino Regular"/>
          <w:sz w:val="20"/>
          <w:szCs w:val="20"/>
        </w:rPr>
        <w:t>/UT/076/2024</w:t>
      </w:r>
      <w:r w:rsidRPr="00345651">
        <w:rPr>
          <w:rFonts w:ascii="Tofino Regular" w:eastAsia="Tofino Regular" w:hAnsi="Tofino Regular" w:cs="Tofino Regular"/>
          <w:sz w:val="20"/>
          <w:szCs w:val="20"/>
        </w:rPr>
        <w:t xml:space="preserve">, el sujeto obligado denominado </w:t>
      </w:r>
      <w:r>
        <w:rPr>
          <w:rFonts w:ascii="Tofino Regular" w:eastAsia="Tofino Regular" w:hAnsi="Tofino Regular" w:cs="Tofino Regular"/>
          <w:sz w:val="20"/>
          <w:szCs w:val="20"/>
        </w:rPr>
        <w:t>Agencia de Transporte</w:t>
      </w:r>
      <w:r w:rsidRPr="00345651">
        <w:rPr>
          <w:rFonts w:ascii="Tofino Regular" w:eastAsia="Tofino Regular" w:hAnsi="Tofino Regular" w:cs="Tofino Regular"/>
          <w:sz w:val="20"/>
          <w:szCs w:val="20"/>
        </w:rPr>
        <w:t xml:space="preserve"> de Yucatán, remitió su propuesta de tabla de aplicabilidad para que esta sea validada por el Inaip Yucatán, en términos de lo señalado en el numeral noveno fracción III de los Lineamientos Técnicos Generales, tal y como se refiere en el ANEXO ÚNICO del presente.</w:t>
      </w:r>
    </w:p>
    <w:p w14:paraId="76B83A0F" w14:textId="77777777" w:rsidR="00AD0543" w:rsidRDefault="00AD0543">
      <w:pPr>
        <w:jc w:val="both"/>
        <w:rPr>
          <w:rFonts w:ascii="Tofino Regular" w:eastAsia="Tofino Regular" w:hAnsi="Tofino Regular" w:cs="Tofino Regular"/>
          <w:b/>
          <w:sz w:val="20"/>
          <w:szCs w:val="20"/>
        </w:rPr>
      </w:pPr>
    </w:p>
    <w:p w14:paraId="14985494" w14:textId="77777777" w:rsidR="00AD0543" w:rsidRDefault="00AD0543">
      <w:pPr>
        <w:jc w:val="both"/>
        <w:rPr>
          <w:rFonts w:ascii="Tofino Regular" w:eastAsia="Tofino Regular" w:hAnsi="Tofino Regular" w:cs="Tofino Regular"/>
          <w:sz w:val="20"/>
          <w:szCs w:val="20"/>
        </w:rPr>
      </w:pPr>
    </w:p>
    <w:p w14:paraId="32F16072"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710DD578" w14:textId="77777777" w:rsidR="00AD0543" w:rsidRDefault="00AD0543">
      <w:pPr>
        <w:jc w:val="center"/>
        <w:rPr>
          <w:rFonts w:ascii="Tofino Regular" w:eastAsia="Tofino Regular" w:hAnsi="Tofino Regular" w:cs="Tofino Regular"/>
          <w:b/>
          <w:sz w:val="20"/>
          <w:szCs w:val="20"/>
        </w:rPr>
      </w:pPr>
    </w:p>
    <w:p w14:paraId="3AC3578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w:t>
      </w:r>
      <w:r>
        <w:rPr>
          <w:rFonts w:ascii="Tofino Regular" w:eastAsia="Tofino Regular" w:hAnsi="Tofino Regular" w:cs="Tofino Regular"/>
          <w:sz w:val="20"/>
          <w:szCs w:val="20"/>
        </w:rPr>
        <w:lastRenderedPageBreak/>
        <w:t xml:space="preserve">en el artículo </w:t>
      </w:r>
      <w:proofErr w:type="spellStart"/>
      <w:r>
        <w:rPr>
          <w:rFonts w:ascii="Tofino Regular" w:eastAsia="Tofino Regular" w:hAnsi="Tofino Regular" w:cs="Tofino Regular"/>
          <w:sz w:val="20"/>
          <w:szCs w:val="20"/>
        </w:rPr>
        <w:t>6o</w:t>
      </w:r>
      <w:proofErr w:type="spellEnd"/>
      <w:r>
        <w:rPr>
          <w:rFonts w:ascii="Tofino Regular" w:eastAsia="Tofino Regular" w:hAnsi="Tofino Regular" w:cs="Tofino Regular"/>
          <w:sz w:val="20"/>
          <w:szCs w:val="20"/>
        </w:rPr>
        <w:t>. de la Constitución Política de los Estados Unidos Mexicanos, así como lo dispuesto en la Constitución Política del Estado de Yucatán, la Ley General de Transparencia y Acceso a la Información Pública, la Ley estatal de la materia y demás disposiciones normativas aplicables.</w:t>
      </w:r>
    </w:p>
    <w:p w14:paraId="730298E8" w14:textId="77777777" w:rsidR="00AD0543" w:rsidRDefault="00AD0543">
      <w:pPr>
        <w:jc w:val="both"/>
        <w:rPr>
          <w:rFonts w:ascii="Tofino Regular" w:eastAsia="Tofino Regular" w:hAnsi="Tofino Regular" w:cs="Tofino Regular"/>
          <w:sz w:val="20"/>
          <w:szCs w:val="20"/>
        </w:rPr>
      </w:pPr>
    </w:p>
    <w:p w14:paraId="45B0F092" w14:textId="77777777" w:rsidR="00AD0543" w:rsidRDefault="002D289F">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r>
        <w:rPr>
          <w:rFonts w:ascii="Tofino Regular" w:eastAsia="Tofino Regular" w:hAnsi="Tofino Regular" w:cs="Tofino Regular"/>
          <w:sz w:val="20"/>
          <w:szCs w:val="20"/>
        </w:rPr>
        <w:t>-</w:t>
      </w:r>
      <w:proofErr w:type="gramEnd"/>
      <w:r>
        <w:rPr>
          <w:rFonts w:ascii="Tofino Regular" w:eastAsia="Tofino Regular" w:hAnsi="Tofino Regular" w:cs="Tofino Regular"/>
          <w:sz w:val="20"/>
          <w:szCs w:val="20"/>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elaboradas por el órgano garante. </w:t>
      </w:r>
    </w:p>
    <w:p w14:paraId="3009E748" w14:textId="77777777" w:rsidR="00AD0543" w:rsidRDefault="00AD0543">
      <w:pPr>
        <w:jc w:val="both"/>
        <w:rPr>
          <w:rFonts w:ascii="Tofino Regular" w:eastAsia="Tofino Regular" w:hAnsi="Tofino Regular" w:cs="Tofino Regular"/>
          <w:sz w:val="20"/>
          <w:szCs w:val="20"/>
        </w:rPr>
      </w:pPr>
    </w:p>
    <w:p w14:paraId="06FA919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Además de lo señalado en el considerando que antecede; la Ley estatal de la materia, dispuso una formalidad más, respecto de la forma en la que se iban a determinar qué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55B139C8" w14:textId="77777777" w:rsidR="00AD0543" w:rsidRDefault="00AD0543">
      <w:pPr>
        <w:jc w:val="both"/>
        <w:rPr>
          <w:rFonts w:ascii="Tofino Regular" w:eastAsia="Tofino Regular" w:hAnsi="Tofino Regular" w:cs="Tofino Regular"/>
          <w:sz w:val="20"/>
          <w:szCs w:val="20"/>
        </w:rPr>
      </w:pPr>
    </w:p>
    <w:p w14:paraId="0B029044" w14:textId="77777777" w:rsidR="00AD0543" w:rsidRDefault="002D289F">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CUARTO.-</w:t>
      </w:r>
      <w:proofErr w:type="gramEnd"/>
      <w:r>
        <w:rPr>
          <w:rFonts w:ascii="Tofino Regular" w:eastAsia="Tofino Regular" w:hAnsi="Tofino Regular" w:cs="Tofino Regular"/>
          <w:sz w:val="20"/>
          <w:szCs w:val="20"/>
        </w:rPr>
        <w:t xml:space="preserve"> Para poder determinar la aplicabilidad de las obligaciones de transparencia comunes del siguiente sujeto obligado, se consideró la naturaleza jurídica de este, así como de sus funciones, atribuciones y competencias establecidas en la normatividad que le resulta aplicable; por lo que con base en lo anterior, se determinó qué obligaciones de transparencia comunes le iba a aplicar y cuáles no, de conformidad con lo siguiente:</w:t>
      </w:r>
    </w:p>
    <w:p w14:paraId="7C6535AD" w14:textId="77777777" w:rsidR="00AD0543" w:rsidRDefault="00AD0543">
      <w:pPr>
        <w:jc w:val="both"/>
        <w:rPr>
          <w:rFonts w:ascii="Tofino Regular" w:eastAsia="Tofino Regular" w:hAnsi="Tofino Regular" w:cs="Tofino Regular"/>
          <w:b/>
          <w:sz w:val="20"/>
          <w:szCs w:val="20"/>
        </w:rPr>
      </w:pPr>
    </w:p>
    <w:p w14:paraId="40D1344C"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31-05-09-001 Agencia de Transporte de Yucatán.</w:t>
      </w:r>
    </w:p>
    <w:p w14:paraId="34D0116A" w14:textId="77777777" w:rsidR="00AD0543" w:rsidRDefault="00AD0543">
      <w:pPr>
        <w:jc w:val="both"/>
        <w:rPr>
          <w:rFonts w:ascii="Tofino Regular" w:eastAsia="Tofino Regular" w:hAnsi="Tofino Regular" w:cs="Tofino Regular"/>
          <w:b/>
          <w:sz w:val="20"/>
          <w:szCs w:val="20"/>
        </w:rPr>
      </w:pPr>
    </w:p>
    <w:tbl>
      <w:tblPr>
        <w:tblStyle w:val="a"/>
        <w:tblW w:w="9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105"/>
        <w:gridCol w:w="4396"/>
      </w:tblGrid>
      <w:tr w:rsidR="00AD0543" w14:paraId="2C5DAF75" w14:textId="77777777">
        <w:trPr>
          <w:trHeight w:val="501"/>
          <w:tblHeader/>
          <w:jc w:val="center"/>
        </w:trPr>
        <w:tc>
          <w:tcPr>
            <w:tcW w:w="4917" w:type="dxa"/>
            <w:gridSpan w:val="2"/>
            <w:tcBorders>
              <w:top w:val="single" w:sz="4" w:space="0" w:color="000000"/>
              <w:left w:val="single" w:sz="4" w:space="0" w:color="000000"/>
              <w:bottom w:val="single" w:sz="4" w:space="0" w:color="000000"/>
              <w:right w:val="single" w:sz="4" w:space="0" w:color="000000"/>
            </w:tcBorders>
            <w:shd w:val="clear" w:color="auto" w:fill="8EAADB"/>
            <w:vAlign w:val="center"/>
          </w:tcPr>
          <w:p w14:paraId="2D38E620"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FRACCIÓN</w:t>
            </w:r>
          </w:p>
        </w:tc>
        <w:tc>
          <w:tcPr>
            <w:tcW w:w="4396"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7AE13290"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APLICABLE / NO APLICABLE</w:t>
            </w:r>
          </w:p>
        </w:tc>
      </w:tr>
      <w:tr w:rsidR="00AD0543" w14:paraId="55537BB3" w14:textId="77777777">
        <w:trPr>
          <w:trHeight w:val="1967"/>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D9C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323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marco normativo aplicable al sujeto obligado, en el que deberá incluirse leyes, códigos, reglamentos, decretos de creación, manuales administrativos, reglas de operación, criterios, políticas, entre otros;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EF3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 xml:space="preserve">Le es aplicable, en virtud que la publicación de las disposiciones normativas que regulan el ejercicio de este sujeto </w:t>
            </w:r>
            <w:proofErr w:type="gramStart"/>
            <w:r>
              <w:rPr>
                <w:rFonts w:ascii="Tofino Regular" w:eastAsia="Tofino Regular" w:hAnsi="Tofino Regular" w:cs="Tofino Regular"/>
                <w:color w:val="000000"/>
                <w:sz w:val="20"/>
                <w:szCs w:val="20"/>
              </w:rPr>
              <w:t>obligado,</w:t>
            </w:r>
            <w:proofErr w:type="gramEnd"/>
            <w:r>
              <w:rPr>
                <w:rFonts w:ascii="Tofino Regular" w:eastAsia="Tofino Regular" w:hAnsi="Tofino Regular" w:cs="Tofino Regular"/>
                <w:color w:val="000000"/>
                <w:sz w:val="20"/>
                <w:szCs w:val="20"/>
              </w:rPr>
              <w:t xml:space="preserve"> permitirá a las personas dotarse de las herramientas y mecanismos necesarios para la defensa eficaz y eficiente de sus derechos fundamentales, y para verificar que los actos de éste se encuentren debidamente fundados y motivados.</w:t>
            </w:r>
          </w:p>
        </w:tc>
      </w:tr>
      <w:tr w:rsidR="00AD0543" w14:paraId="1AD7A1AB" w14:textId="77777777">
        <w:trPr>
          <w:trHeight w:val="53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6BB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89E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4526" w14:textId="77777777" w:rsidR="00AD0543" w:rsidRDefault="002D289F">
            <w:pPr>
              <w:spacing w:before="31"/>
              <w:ind w:right="54"/>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señalado en el artículo 8 de la Ley de la Agencia de Transporte de Yucatán, se encuentra dentro de sus facultades y atribuciones.</w:t>
            </w:r>
          </w:p>
        </w:tc>
      </w:tr>
      <w:tr w:rsidR="00AD0543" w14:paraId="6599F220"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CEF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121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facultades de cada Área;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306A" w14:textId="79557341"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cumplimiento a esta fracción, este sujeto obligado publicará las facultades respecto de cada una de las áreas previstas en la Ley de la Agencia de Transporte de Yucatán, así como de su reglamento interior.</w:t>
            </w:r>
          </w:p>
        </w:tc>
      </w:tr>
      <w:tr w:rsidR="00AD0543" w14:paraId="403134AA"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A87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AE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metas y objetivos de las Áreas de conformidad con sus programas operativos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33C9" w14:textId="77777777" w:rsidR="00AD0543" w:rsidRDefault="002D289F">
            <w:pPr>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 xml:space="preserve">Le es aplicable, para el cumplimiento de esta fracción se deberá entender como meta la cuantificación y/o expresión numérica del objetivo o los objetivos y/o indicadores que planea o busca alcanzar el sujeto obligado a través de cada una de las áreas o unidades responsables ejecutoras del gasto. </w:t>
            </w:r>
          </w:p>
          <w:p w14:paraId="24C54D3F" w14:textId="16A24441"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La información publicada en esta fracción deberá ser correspondiente con las áreas o unidades ejecutoras del gasto que forman parte del sujeto obligado, para cada una de estas áreas se publicarán sus metas y objetivos vinculados a los programas operativos, presupuestarios, de conformidad con lo señalado en el último párrafo del artículo 33</w:t>
            </w:r>
            <w:r>
              <w:rPr>
                <w:rFonts w:ascii="Tofino Regular" w:eastAsia="Tofino Regular" w:hAnsi="Tofino Regular" w:cs="Tofino Regular"/>
                <w:sz w:val="20"/>
                <w:szCs w:val="20"/>
              </w:rPr>
              <w:t xml:space="preserve">, en </w:t>
            </w:r>
            <w:r>
              <w:rPr>
                <w:rFonts w:ascii="Tofino Regular" w:eastAsia="Tofino Regular" w:hAnsi="Tofino Regular" w:cs="Tofino Regular"/>
                <w:color w:val="000000"/>
                <w:sz w:val="20"/>
                <w:szCs w:val="20"/>
              </w:rPr>
              <w:t>la fracción III del artículo 34 y el artículo 34 bis de la Ley del Presupuesto y Contabilidad Gubernamental del Estado de Yucatán.</w:t>
            </w:r>
          </w:p>
        </w:tc>
      </w:tr>
      <w:tr w:rsidR="00AD0543" w14:paraId="6AC35661"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423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E7E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indicadores relacionados con temas de interés público o trascendencia social </w:t>
            </w:r>
            <w:proofErr w:type="gramStart"/>
            <w:r>
              <w:rPr>
                <w:rFonts w:ascii="Tofino Regular" w:eastAsia="Tofino Regular" w:hAnsi="Tofino Regular" w:cs="Tofino Regular"/>
                <w:sz w:val="20"/>
                <w:szCs w:val="20"/>
              </w:rPr>
              <w:t>que</w:t>
            </w:r>
            <w:proofErr w:type="gramEnd"/>
            <w:r>
              <w:rPr>
                <w:rFonts w:ascii="Tofino Regular" w:eastAsia="Tofino Regular" w:hAnsi="Tofino Regular" w:cs="Tofino Regular"/>
                <w:sz w:val="20"/>
                <w:szCs w:val="20"/>
              </w:rPr>
              <w:t xml:space="preserve"> conforme a sus funciones, deban establecer;</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E57B"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color w:val="000000"/>
                <w:sz w:val="20"/>
                <w:szCs w:val="20"/>
              </w:rPr>
              <w:t>Le es aplicable. Al respecto, conviene precisar que de acuerdo con los Lineamientos técnicos generales, en esta fracción todos los sujetos obligados publicarán y actualizarán la información relativa a los indicadores relacionados con temas de interés público que valoren los resultados del sujeto obligado en su conjunto, de acuerdo con su misión, objetivos y/o atribuciones previstas en las disposiciones que los regulen, aun cuando dichos indicadores no formen parte de lo que reportan, cuando así corresponda, en la Matriz de Indicadores de Resultados (MIR).</w:t>
            </w:r>
          </w:p>
        </w:tc>
      </w:tr>
      <w:tr w:rsidR="00AD0543" w14:paraId="4EE4DF09" w14:textId="77777777">
        <w:trPr>
          <w:trHeight w:val="172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B801"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E65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indicadores que permitan rendir cuenta de sus objetivos y resultados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5C2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los artículos 4 penúltimo párrafo y 33 de la Ley del Presupuesto y Contabilidad Gubernamental del Estado de Yucatán. Dichas disposiciones normativas señalan que la estructura programática permitirá la relación de la programación de los ejecutores de gasto con el Plan Estatal de Desarrollo y los programas que de él deriven, y que deberá incluir indicadores de desempeño. Estos indicadores corresponden a un índice, medida, cociente o fórmula que permita establecer un parámetro de medición de lo que se pretende lograr en un año expresado en términos de cobertura, eficiencia, impacto económico y social, calidad y equidad. Estos indicadores serán parte del Sistema de Evaluación del Desempeño del Estado.</w:t>
            </w:r>
          </w:p>
        </w:tc>
      </w:tr>
      <w:tr w:rsidR="00AD0543" w14:paraId="58E84284" w14:textId="77777777">
        <w:trPr>
          <w:trHeight w:val="96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4AF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BDE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B27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la publicación de dicha información permitirá a las personas conocer la relación de las personas servidoras públicas que integran una unidad administrativa, identificándose y estableciendo medios de comunicación, entre éstas. Por lo que, dentro del ámbito de sus facultades, competencias y funciones, el sujeto obligado puede integrar el directorio a que hace referencia esta fracción.</w:t>
            </w:r>
          </w:p>
        </w:tc>
      </w:tr>
      <w:tr w:rsidR="00AD0543" w14:paraId="09DC2C42" w14:textId="77777777">
        <w:trPr>
          <w:trHeight w:val="91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A02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44E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BBE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39 fracción II de la Ley del Presupuesto y Contabilidad Gubernamental del Estado de Yucatán; se establece que en el proyecto de Presupuesto de Egresos se deberá presentar en una sección específica las erogaciones correspondientes al gasto en servicios personales, el cual comprende:</w:t>
            </w:r>
          </w:p>
          <w:p w14:paraId="41FE0A5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a) Las remuneraciones de los servidores públicos, desglosando las percepciones ordinarias y percepciones extraordinarias e incluyendo las erogaciones por concepto de obligaciones de carácter fiscal y de seguridad social inherentes a dichas remuneraciones, y</w:t>
            </w:r>
          </w:p>
          <w:p w14:paraId="49DEF7F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b) Las previsiones salariales y económicas para cubrir los incrementos salariales, la creación de plazas y otras medidas económicas de índole laboral. Dichas previsiones serán incluidas en un capítulo o partida específica, según corresponda, del Presupuesto de Egresos.</w:t>
            </w:r>
          </w:p>
        </w:tc>
      </w:tr>
      <w:tr w:rsidR="00AD0543" w14:paraId="1A98C830" w14:textId="77777777">
        <w:trPr>
          <w:trHeight w:val="117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8BCF" w14:textId="77777777" w:rsidR="00AD0543" w:rsidRDefault="002D289F">
            <w:pPr>
              <w:jc w:val="center"/>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lastRenderedPageBreak/>
              <w:t>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680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gastos de representación y viáticos, así como el objeto e informe de comisión correspondiente;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C61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Le es aplicable, toda vez que esta información hace referencia a la que está reportada en el clasificador por objeto del gasto emitido por el Consejo Nacional de Armonización Contable, en el concepto 3700 de Servicios de Traslado y Viáticos</w:t>
            </w:r>
            <w:r>
              <w:rPr>
                <w:rFonts w:ascii="Tofino Regular" w:eastAsia="Tofino Regular" w:hAnsi="Tofino Regular" w:cs="Tofino Regular"/>
                <w:sz w:val="20"/>
                <w:szCs w:val="20"/>
              </w:rPr>
              <w:t xml:space="preserve"> </w:t>
            </w:r>
            <w:r>
              <w:rPr>
                <w:rFonts w:ascii="Tofino Regular" w:eastAsia="Tofino Regular" w:hAnsi="Tofino Regular" w:cs="Tofino Regular"/>
                <w:color w:val="000000"/>
                <w:sz w:val="20"/>
                <w:szCs w:val="20"/>
              </w:rPr>
              <w:t>y los catalogados mediante la partida 3800 y en su partida genérica 385 relativa a Gastos de representación;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r>
              <w:rPr>
                <w:rFonts w:ascii="Tofino Regular" w:eastAsia="Tofino Regular" w:hAnsi="Tofino Regular" w:cs="Tofino Regular"/>
                <w:sz w:val="20"/>
                <w:szCs w:val="20"/>
              </w:rPr>
              <w:t xml:space="preserve"> </w:t>
            </w:r>
            <w:r>
              <w:rPr>
                <w:rFonts w:ascii="Tofino Regular" w:eastAsia="Tofino Regular" w:hAnsi="Tofino Regular" w:cs="Tofino Regular"/>
                <w:color w:val="000000"/>
                <w:sz w:val="20"/>
                <w:szCs w:val="20"/>
              </w:rPr>
              <w:t>y de las erogaciones necesarias para el Desempeño de comisiones oficiales.</w:t>
            </w:r>
          </w:p>
        </w:tc>
      </w:tr>
      <w:tr w:rsidR="00AD0543" w14:paraId="35E02BC4"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8CC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FEF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número total de las plazas y del personal de base y confianza, especificando el total de las vacantes, por nivel de puesto, para cada unidad administrativa;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1ED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6, fracción I, inciso i, de la Ley del Presupuesto y Contabilidad Gubernamental del Estado de Yucatán; toda vez que dicho numeral establece que, en el caso de los organismos autónomos, éstos deberán incluir en sus proyectos de presupuestos las categorías laborales con el </w:t>
            </w:r>
            <w:r>
              <w:rPr>
                <w:rFonts w:ascii="Tofino Regular" w:eastAsia="Tofino Regular" w:hAnsi="Tofino Regular" w:cs="Tofino Regular"/>
                <w:sz w:val="20"/>
                <w:szCs w:val="20"/>
              </w:rPr>
              <w:lastRenderedPageBreak/>
              <w:t>número de plazas y el desglose de todas las remuneraciones correspondientes a cada una.</w:t>
            </w:r>
          </w:p>
        </w:tc>
      </w:tr>
      <w:tr w:rsidR="00AD0543" w14:paraId="7860750E"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D10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D2D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contrataciones de servicios profesionales por honorarios, señalando los nombres de los prestadores de servicios, los servicios contratados, el monto de los honorarios y el periodo de contratación;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E32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p>
        </w:tc>
      </w:tr>
      <w:tr w:rsidR="00AD0543" w14:paraId="1E91E8C1" w14:textId="77777777">
        <w:trPr>
          <w:trHeight w:val="16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7A02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108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información en Versión Pública de las declaraciones patrimoniales de los Servidores Públicos que así lo determinen, en los sistemas habilitados para ello, </w:t>
            </w:r>
            <w:proofErr w:type="gramStart"/>
            <w:r>
              <w:rPr>
                <w:rFonts w:ascii="Tofino Regular" w:eastAsia="Tofino Regular" w:hAnsi="Tofino Regular" w:cs="Tofino Regular"/>
                <w:sz w:val="20"/>
                <w:szCs w:val="20"/>
              </w:rPr>
              <w:t>de acuerdo a</w:t>
            </w:r>
            <w:proofErr w:type="gramEnd"/>
            <w:r>
              <w:rPr>
                <w:rFonts w:ascii="Tofino Regular" w:eastAsia="Tofino Regular" w:hAnsi="Tofino Regular" w:cs="Tofino Regular"/>
                <w:sz w:val="20"/>
                <w:szCs w:val="20"/>
              </w:rPr>
              <w:t xml:space="preserve"> la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765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este sentido el sujeto obligado deberá publicar la versión pública, de la declaración de situación patrimonial de todas las personas servidoras públicas establecidas en el artículo 108 de la Constitución Política de los Estados Unidos Mexicanos, integrantes, miembros del sujeto obligado y/o toda persona que desempeñe un empleo, cargo o comisión y/o ejerza actos de autoridad, en sus tres modalidades: inicio, modificación y de conclusión, de conformidad con la normatividad que resulte aplicable en la materia.</w:t>
            </w:r>
          </w:p>
        </w:tc>
      </w:tr>
      <w:tr w:rsidR="00AD0543" w14:paraId="58381BA2" w14:textId="77777777">
        <w:trPr>
          <w:trHeight w:val="537"/>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FA18"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5D9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domicilio de la Unidad de Transparencia, además de la dirección electrónica donde podrán recibirse las solicitudes para obtener la información;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086E"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ya que la publicación de la información permite que las personas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w:t>
            </w:r>
            <w:r w:rsidRPr="00481671">
              <w:rPr>
                <w:rFonts w:ascii="Tofino Regular" w:eastAsia="Tofino Regular" w:hAnsi="Tofino Regular" w:cs="Tofino Regular"/>
                <w:sz w:val="20"/>
                <w:szCs w:val="20"/>
              </w:rPr>
              <w:lastRenderedPageBreak/>
              <w:t>de la Ley de Transparencia y Acceso a la Información Pública del Estado de Yucatán.</w:t>
            </w:r>
          </w:p>
        </w:tc>
      </w:tr>
      <w:tr w:rsidR="00AD0543" w14:paraId="7FD454A7"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EE1D"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CDB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convocatorias a concursos para ocupar cargos públicos y los resultados de </w:t>
            </w:r>
            <w:proofErr w:type="gramStart"/>
            <w:r>
              <w:rPr>
                <w:rFonts w:ascii="Tofino Regular" w:eastAsia="Tofino Regular" w:hAnsi="Tofino Regular" w:cs="Tofino Regular"/>
                <w:sz w:val="20"/>
                <w:szCs w:val="20"/>
              </w:rPr>
              <w:t>los mismos</w:t>
            </w:r>
            <w:proofErr w:type="gramEnd"/>
            <w:r>
              <w:rPr>
                <w:rFonts w:ascii="Tofino Regular" w:eastAsia="Tofino Regular" w:hAnsi="Tofino Regular" w:cs="Tofino Regular"/>
                <w:sz w:val="20"/>
                <w:szCs w:val="20"/>
              </w:rPr>
              <w:t>;</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BC38" w14:textId="749066D3"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toda vez que de conformidad con lo establecido en el artículo 12 de la Ley de la Agencia de Transporte de Yucatán, la persona titular de la Agencia nombrará y removerá libremente a las personas titulares de las unidades administrativas y demás personal del organismo</w:t>
            </w:r>
            <w:r w:rsidR="00702A79" w:rsidRPr="00481671">
              <w:rPr>
                <w:rFonts w:ascii="Tofino Regular" w:eastAsia="Tofino Regular" w:hAnsi="Tofino Regular" w:cs="Tofino Regular"/>
                <w:sz w:val="20"/>
                <w:szCs w:val="20"/>
              </w:rPr>
              <w:t>.</w:t>
            </w:r>
          </w:p>
          <w:p w14:paraId="395EAB09" w14:textId="03B63F95"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En términos del artículo </w:t>
            </w:r>
            <w:r w:rsidR="002E1E16" w:rsidRPr="00481671">
              <w:rPr>
                <w:rFonts w:ascii="Tofino Regular" w:eastAsia="Tofino Regular" w:hAnsi="Tofino Regular" w:cs="Tofino Regular"/>
                <w:sz w:val="20"/>
                <w:szCs w:val="20"/>
              </w:rPr>
              <w:t>4</w:t>
            </w:r>
            <w:r w:rsidRPr="00481671">
              <w:rPr>
                <w:rFonts w:ascii="Tofino Regular" w:eastAsia="Tofino Regular" w:hAnsi="Tofino Regular" w:cs="Tofino Regular"/>
                <w:sz w:val="20"/>
                <w:szCs w:val="20"/>
              </w:rPr>
              <w:t>, fracción IV, la Agencia, también tendrá la facultad de expedir el reglamento interior para establecer su estructura y funcionamiento de las unidades administrativas para el correcto ejercicio de sus atribuciones para el cumplimiento de sus fines; por lo que</w:t>
            </w:r>
            <w:r w:rsidR="002E1E16" w:rsidRPr="00481671">
              <w:rPr>
                <w:rFonts w:ascii="Tofino Regular" w:eastAsia="Tofino Regular" w:hAnsi="Tofino Regular" w:cs="Tofino Regular"/>
                <w:sz w:val="20"/>
                <w:szCs w:val="20"/>
              </w:rPr>
              <w:t>,</w:t>
            </w:r>
            <w:r w:rsidRPr="00481671">
              <w:rPr>
                <w:rFonts w:ascii="Tofino Regular" w:eastAsia="Tofino Regular" w:hAnsi="Tofino Regular" w:cs="Tofino Regular"/>
                <w:sz w:val="20"/>
                <w:szCs w:val="20"/>
              </w:rPr>
              <w:t xml:space="preserve"> bajo esta premisa, se infiere que este organismo no se encuentra impedido a realizar o implementar procedimientos convocatorios. En concordancia con lo señalado en los Lineamientos técnicos generales, el sujeto obligado publicará los avisos, invitaciones y/o convocatorias que emita para ocupar cualquier tipo de cargo, puesto o equivalente; cuando sea sometido a concurso, público o cerrado, de acuerdo con su naturaleza jurídica, la normatividad que le aplique, sus necesidades institucionales y su presupuesto autorizado.</w:t>
            </w:r>
          </w:p>
        </w:tc>
      </w:tr>
      <w:tr w:rsidR="00AD0543" w14:paraId="3C91361B" w14:textId="77777777" w:rsidTr="00A55A73">
        <w:trPr>
          <w:trHeight w:val="89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897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C12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de los programas de subsidios, estímulos y apoyos, en el que se deberá informar respecto de los programas de transferencia, de servicios, de infraestructura social y de subsidio, en los que se deberá contener lo siguiente: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5D0B" w14:textId="5A7DC10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 lo señalado en el artículo 7 de la Ley de la Agencia de Transporte de Yucatán, toda vez que</w:t>
            </w:r>
            <w:r w:rsidR="002E1E16">
              <w:rPr>
                <w:rFonts w:ascii="Tofino Regular" w:eastAsia="Tofino Regular" w:hAnsi="Tofino Regular" w:cs="Tofino Regular"/>
                <w:sz w:val="20"/>
                <w:szCs w:val="20"/>
              </w:rPr>
              <w:t>,</w:t>
            </w:r>
            <w:r>
              <w:rPr>
                <w:rFonts w:ascii="Tofino Regular" w:eastAsia="Tofino Regular" w:hAnsi="Tofino Regular" w:cs="Tofino Regular"/>
                <w:sz w:val="20"/>
                <w:szCs w:val="20"/>
              </w:rPr>
              <w:t xml:space="preserve"> dentro del presupuesto de cada ejercicio fiscal de la agencia, se deberá considerar el monto de recursos necesarios para asegurar la continuidad y sostenibilidad del servicio de transporte público de personas pasajeras bajo la premisa del balance presupuestario sostenible, considerando la proyección del ingreso por concepto de tarifa y la ministración por concepto de subsidio o apoyo y los gastos que requiere el sistema de </w:t>
            </w:r>
            <w:r>
              <w:rPr>
                <w:rFonts w:ascii="Tofino Regular" w:eastAsia="Tofino Regular" w:hAnsi="Tofino Regular" w:cs="Tofino Regular"/>
                <w:sz w:val="20"/>
                <w:szCs w:val="20"/>
              </w:rPr>
              <w:lastRenderedPageBreak/>
              <w:t xml:space="preserve">transporte de personas para su sostenibilidad. </w:t>
            </w:r>
          </w:p>
        </w:tc>
      </w:tr>
      <w:tr w:rsidR="00AD0543" w14:paraId="23EC8D50" w14:textId="77777777">
        <w:trPr>
          <w:trHeight w:val="201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6BB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523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8516" w14:textId="36D14ACA"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en términos de lo señalado en el artículo 24 de la Ley de la Agencia</w:t>
            </w:r>
            <w:r w:rsidR="005D562E">
              <w:rPr>
                <w:rFonts w:ascii="Tofino Regular" w:eastAsia="Tofino Regular" w:hAnsi="Tofino Regular" w:cs="Tofino Regular"/>
                <w:sz w:val="20"/>
                <w:szCs w:val="20"/>
              </w:rPr>
              <w:t xml:space="preserve"> de Transporte de Yucatán</w:t>
            </w:r>
            <w:r>
              <w:rPr>
                <w:rFonts w:ascii="Tofino Regular" w:eastAsia="Tofino Regular" w:hAnsi="Tofino Regular" w:cs="Tofino Regular"/>
                <w:sz w:val="20"/>
                <w:szCs w:val="20"/>
              </w:rPr>
              <w:t>, las relaciones laborales entre la Agencia de Transporte de Yucatán y sus personas trabajadoras, independientemente de la naturaleza de su contratación se regirán por lo dispuesto en la Ley de los Trabajadores al Servicio del Estado y Municipios de Yucatán; en mérito de lo anterior, en la citada Ley de los trabajadores se prevé la posibilidad de establecer condiciones generales de trabajo.</w:t>
            </w:r>
          </w:p>
        </w:tc>
      </w:tr>
      <w:tr w:rsidR="00AD0543" w14:paraId="19CD684B" w14:textId="77777777">
        <w:trPr>
          <w:trHeight w:val="136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F441"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325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curricular, desde el nivel de jefe de departamento o equivalente, hasta el titular del sujeto obligado, así como, en su caso, las sanciones administrativas de que haya sido objeto;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F29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la publicación de esta información brindará certeza a los particulares que las personas más capacitadas acorde a las áreas solicitadas, ejercerán las funciones en la administración pública, aunado a que permitirá conocer las infracciones y faltas que haya cometido la persona servidora pública.</w:t>
            </w:r>
          </w:p>
        </w:tc>
      </w:tr>
      <w:tr w:rsidR="00AD0543" w14:paraId="31F2639A" w14:textId="77777777">
        <w:trPr>
          <w:trHeight w:val="78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CC2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E16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Servidores Públicos con sanciones administrativas definitivas, especificando la causa de sanción y la disposición;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4CE2"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que deberán incluir un hipervínculo al sistema de registro de sanciones administrativas que les corresponda.</w:t>
            </w:r>
          </w:p>
        </w:tc>
      </w:tr>
      <w:tr w:rsidR="00AD0543" w14:paraId="5EE0A192"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DB3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D53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servicios que ofrecen señalando los requisitos para acceder a ellos;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A1A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establecido en los Lineamientos técnicos generales, señalan que, en todos los casos, los sujetos obligados deberán incluir en esta </w:t>
            </w:r>
            <w:r>
              <w:rPr>
                <w:rFonts w:ascii="Tofino Regular" w:eastAsia="Tofino Regular" w:hAnsi="Tofino Regular" w:cs="Tofino Regular"/>
                <w:sz w:val="20"/>
                <w:szCs w:val="20"/>
              </w:rPr>
              <w:lastRenderedPageBreak/>
              <w:t>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AD0543" w14:paraId="0FE582BD"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469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EB1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trámites, requisitos y formatos que ofrecen;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9C1B" w14:textId="2D7697C5"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ya que los Lineamientos técnicos generales señalan que</w:t>
            </w:r>
            <w:r w:rsidR="000F6CE7">
              <w:rPr>
                <w:rFonts w:ascii="Tofino Regular" w:eastAsia="Tofino Regular" w:hAnsi="Tofino Regular" w:cs="Tofino Regular"/>
                <w:sz w:val="20"/>
                <w:szCs w:val="20"/>
              </w:rPr>
              <w:t>,</w:t>
            </w:r>
            <w:r>
              <w:rPr>
                <w:rFonts w:ascii="Tofino Regular" w:eastAsia="Tofino Regular" w:hAnsi="Tofino Regular" w:cs="Tofino Regular"/>
                <w:sz w:val="20"/>
                <w:szCs w:val="20"/>
              </w:rPr>
              <w:t xml:space="preserve"> en todos los casos, los sujetos obligados deberán incluir en esta fracción, los relativos a los trámites en materia de acceso a la información y protección de datos personales, tales como solicitudes de acceso a la información pública, y las solicitudes de acceso, rectificación, cancelación, oposición y portabilidad de datos personales que todo sujeto obligado debe proporcionar.</w:t>
            </w:r>
          </w:p>
        </w:tc>
      </w:tr>
      <w:tr w:rsidR="00AD0543" w14:paraId="6918569B" w14:textId="77777777">
        <w:trPr>
          <w:trHeight w:val="14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58B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25F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financiera sobre el presupuesto asignado, así como los informes del ejercicio trimestral del gasto, en términos de la Ley General de Contabilidad Gubernamental y demás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26BA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los artículos 5 y 6 de la 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AD0543" w14:paraId="043C293E"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64F4"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CD0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relativa a la deuda pública, en términos de la normatividad aplicable;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5ED45" w14:textId="162F099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del artículo 1 y 2 fracción III y 9 de la Ley de Deuda Pública del Estado de Yucatán, los entes públicos, entre ellos los organismos autónomos, podrán contraer deuda pública, cumpliendo las disposiciones establecidas en la citada normativa.</w:t>
            </w:r>
          </w:p>
        </w:tc>
      </w:tr>
      <w:tr w:rsidR="00AD0543" w14:paraId="7E5A3038" w14:textId="77777777">
        <w:trPr>
          <w:trHeight w:val="98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D358"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83B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montos destinados a gastos relativos a comunicación social y publicidad oficial desglosada por tipo de medio, proveedores, número de contrato y concepto o campaña;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54BA" w14:textId="77777777" w:rsidR="00AD0543" w:rsidRDefault="002D289F">
            <w:pPr>
              <w:jc w:val="both"/>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t xml:space="preserve">Le es aplicable de conformidad con lo señalado en el artículo 117 de la Ley de Presupuesto y Contabilidad Gubernamental del Estado de Yucatán, toda vez que para la difusión de las actividades de los organismos autónomos, podrán destinarse recursos presupuestales considerando la naturaleza e importancia social del </w:t>
            </w:r>
            <w:r>
              <w:rPr>
                <w:rFonts w:ascii="Tofino Regular" w:eastAsia="Tofino Regular" w:hAnsi="Tofino Regular" w:cs="Tofino Regular"/>
                <w:sz w:val="20"/>
                <w:szCs w:val="20"/>
              </w:rPr>
              <w:lastRenderedPageBreak/>
              <w:t>contenido de la información, el requerimiento de horarios y audiencias específicos, o bien, por la falta de disponibilidad de los tiempos de transmisión asignados en los medios de comunicación estatales.</w:t>
            </w:r>
          </w:p>
        </w:tc>
      </w:tr>
      <w:tr w:rsidR="00AD0543" w14:paraId="1E4E7343" w14:textId="77777777">
        <w:trPr>
          <w:trHeight w:val="98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CD9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7C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de resultados de las auditorías al ejercicio presupuestal de cada sujeto obligado que se realicen y, en su caso, las aclaraciones que correspondan;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12B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AD0543" w14:paraId="4F687F5A"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8C1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EB0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resultado de la dictaminación de los estados financieros;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415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forma fundada y motivada.</w:t>
            </w:r>
          </w:p>
        </w:tc>
      </w:tr>
      <w:tr w:rsidR="00AD0543" w14:paraId="2532F6F7" w14:textId="77777777">
        <w:trPr>
          <w:trHeight w:val="62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6F1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C06C"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9FB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dispuesto en la fracción VI del artículo 5 y el artículo 137 de la Ley del Presupuesto y Contabilidad Gubernamental del Estado de Yucatán, los ejecutores del gasto podrán otorgar excepcionalmente ayudas a personas físicas o morales individuales sin fines de carácter político, siempre que cuenten con suficiencia presupuestal, se reúnan los requisitos establecidos en el Reglamento y medie autorización previa.</w:t>
            </w:r>
          </w:p>
        </w:tc>
      </w:tr>
      <w:tr w:rsidR="00AD0543" w14:paraId="2A1FAB6A" w14:textId="77777777">
        <w:trPr>
          <w:trHeight w:val="221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2026"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110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B886" w14:textId="71DB3F1F"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términos del artículo </w:t>
            </w:r>
            <w:r w:rsidR="002E24E7">
              <w:rPr>
                <w:rFonts w:ascii="Tofino Regular" w:eastAsia="Tofino Regular" w:hAnsi="Tofino Regular" w:cs="Tofino Regular"/>
                <w:sz w:val="20"/>
                <w:szCs w:val="20"/>
              </w:rPr>
              <w:t>10 fracciones VII y XXII</w:t>
            </w:r>
            <w:r>
              <w:rPr>
                <w:rFonts w:ascii="Tofino Regular" w:eastAsia="Tofino Regular" w:hAnsi="Tofino Regular" w:cs="Tofino Regular"/>
                <w:sz w:val="20"/>
                <w:szCs w:val="20"/>
              </w:rPr>
              <w:t xml:space="preserve">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xml:space="preserve">, es atribución de su titular otorgar, renovar, modificar, suspender o extinguir, las autorizaciones del servicio de transporte, exceptuando los permisos especiales y provisionales, el certificado vehicular, certificado de persona operadora titular o adhesiva, previo cumplimiento de los requisitos establecidos en la ley y demás disposiciones aplicables. </w:t>
            </w:r>
          </w:p>
          <w:p w14:paraId="2651C5D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Así como suscribir acuerdos, convenios, contratos, acuerdos interinstitucionales y demás instrumentos jurídicos con los sectores público, privado y social, con autoridades federales, estatales y municipales y organismos internacionales según corresponda, en las materias competencia de la agencia, en los términos de las disposiciones aplicables para el cumplimiento de las atribuciones de la agencia.</w:t>
            </w:r>
          </w:p>
        </w:tc>
      </w:tr>
      <w:tr w:rsidR="00AD0543" w14:paraId="3FEF0F79" w14:textId="77777777">
        <w:trPr>
          <w:trHeight w:val="1723"/>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C0F9"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E48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7A3DE13C" w14:textId="77777777" w:rsidR="00AD0543" w:rsidRDefault="00AD0543">
            <w:pPr>
              <w:rPr>
                <w:rFonts w:ascii="Tofino Regular" w:eastAsia="Tofino Regular" w:hAnsi="Tofino Regular" w:cs="Tofino Regular"/>
                <w:sz w:val="20"/>
                <w:szCs w:val="20"/>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C4F7" w14:textId="1FBC5E8E"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términos del artículo </w:t>
            </w:r>
            <w:r w:rsidR="00580777">
              <w:rPr>
                <w:rFonts w:ascii="Tofino Regular" w:eastAsia="Tofino Regular" w:hAnsi="Tofino Regular" w:cs="Tofino Regular"/>
                <w:sz w:val="20"/>
                <w:szCs w:val="20"/>
              </w:rPr>
              <w:t>4</w:t>
            </w:r>
            <w:r>
              <w:rPr>
                <w:rFonts w:ascii="Tofino Regular" w:eastAsia="Tofino Regular" w:hAnsi="Tofino Regular" w:cs="Tofino Regular"/>
                <w:sz w:val="20"/>
                <w:szCs w:val="20"/>
              </w:rPr>
              <w:t xml:space="preserve"> fracción XXXIII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toda vez que es atribución de la Agencia, adquirir, arrendar, explotar, construir, administrar, operar, mantener, rehabilitar o ampliar todos aquellos bienes muebles e inmuebles que requiera para el cumplimiento de sus fines, objeto y atribuciones.</w:t>
            </w:r>
          </w:p>
        </w:tc>
      </w:tr>
      <w:tr w:rsidR="00AD0543" w14:paraId="743BD68F" w14:textId="77777777">
        <w:trPr>
          <w:trHeight w:val="62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635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8D9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que por disposición legal generen los sujetos obligados;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DDC6" w14:textId="239A1B40"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10 </w:t>
            </w:r>
            <w:r w:rsidR="00580777">
              <w:rPr>
                <w:rFonts w:ascii="Tofino Regular" w:eastAsia="Tofino Regular" w:hAnsi="Tofino Regular" w:cs="Tofino Regular"/>
                <w:sz w:val="20"/>
                <w:szCs w:val="20"/>
              </w:rPr>
              <w:t xml:space="preserve">fracción XXV </w:t>
            </w:r>
            <w:r>
              <w:rPr>
                <w:rFonts w:ascii="Tofino Regular" w:eastAsia="Tofino Regular" w:hAnsi="Tofino Regular" w:cs="Tofino Regular"/>
                <w:sz w:val="20"/>
                <w:szCs w:val="20"/>
              </w:rPr>
              <w:t>de la Ley de la Agencia</w:t>
            </w:r>
            <w:r w:rsidR="005D562E">
              <w:rPr>
                <w:rFonts w:ascii="Tofino Regular" w:eastAsia="Tofino Regular" w:hAnsi="Tofino Regular" w:cs="Tofino Regular"/>
                <w:sz w:val="20"/>
                <w:szCs w:val="20"/>
              </w:rPr>
              <w:t xml:space="preserve"> de Transporte de Yucatán</w:t>
            </w:r>
            <w:r>
              <w:rPr>
                <w:rFonts w:ascii="Tofino Regular" w:eastAsia="Tofino Regular" w:hAnsi="Tofino Regular" w:cs="Tofino Regular"/>
                <w:sz w:val="20"/>
                <w:szCs w:val="20"/>
              </w:rPr>
              <w:t>, toda vez que es atribución de su titular elaborar el proyecto de informe anual de actividades de la agencia para su presentación ante el Congreso.</w:t>
            </w:r>
          </w:p>
        </w:tc>
      </w:tr>
      <w:tr w:rsidR="00AD0543" w14:paraId="565DB2B0" w14:textId="77777777">
        <w:trPr>
          <w:trHeight w:val="53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1FC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5B54"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estadísticas que generen en cumplimiento de sus facultades, competencias o funciones con la mayor desagregación posible;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824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 xml:space="preserve">Le es aplicable, considerando que los Lineamientos técnicos generales, disponen que todos los sujetos obligados deben publicar una relación de las estadísticas de cualquier tipo que hayan generado en </w:t>
            </w:r>
            <w:r>
              <w:rPr>
                <w:rFonts w:ascii="Tofino Regular" w:eastAsia="Tofino Regular" w:hAnsi="Tofino Regular" w:cs="Tofino Regular"/>
                <w:color w:val="000000"/>
                <w:sz w:val="20"/>
                <w:szCs w:val="20"/>
              </w:rPr>
              <w:lastRenderedPageBreak/>
              <w:t xml:space="preserve">cumplimiento de sus competencias, facultades y/o funciones. </w:t>
            </w:r>
          </w:p>
        </w:tc>
      </w:tr>
      <w:tr w:rsidR="00AD0543" w14:paraId="1781E19B"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DC0F"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084A"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Informe de avances programáticos o presupuestales, balances generales y su estado financiero;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B461"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156 de la Ley del Presupuesto y Contabilidad Gubernamental del Estado de Yucatán, que señalan la información sobre los estados y la situación financiera que deben generar los organismos autónomos.</w:t>
            </w:r>
          </w:p>
        </w:tc>
      </w:tr>
      <w:tr w:rsidR="00AD0543" w14:paraId="7F4D9284" w14:textId="77777777">
        <w:trPr>
          <w:trHeight w:val="11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AE27"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0CE0"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Padrón de proveedores y contratistas;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A6D8" w14:textId="142103BE"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color w:val="000000"/>
                <w:sz w:val="20"/>
                <w:szCs w:val="20"/>
              </w:rPr>
              <w:t xml:space="preserve">Le es aplicable, por lo que de conformidad con lo establecido en los Lineamientos Técnicos Generales, el sujeto obligado deberá publicar la información relativa a </w:t>
            </w:r>
            <w:proofErr w:type="gramStart"/>
            <w:r w:rsidRPr="00481671">
              <w:rPr>
                <w:rFonts w:ascii="Tofino Regular" w:eastAsia="Tofino Regular" w:hAnsi="Tofino Regular" w:cs="Tofino Regular"/>
                <w:color w:val="000000"/>
                <w:sz w:val="20"/>
                <w:szCs w:val="20"/>
              </w:rPr>
              <w:t>las  personas</w:t>
            </w:r>
            <w:proofErr w:type="gramEnd"/>
            <w:r w:rsidRPr="00481671">
              <w:rPr>
                <w:rFonts w:ascii="Tofino Regular" w:eastAsia="Tofino Regular" w:hAnsi="Tofino Regular" w:cs="Tofino Regular"/>
                <w:color w:val="000000"/>
                <w:sz w:val="20"/>
                <w:szCs w:val="20"/>
              </w:rPr>
              <w:t xml:space="preserve"> físicas y morales con las que celebren contratos de adquisiciones, pedidos, arrendamientos, servicios, obras públicas y/o servicios relacionados con las mismas. Fundamento:</w:t>
            </w:r>
            <w:r w:rsidR="00580777" w:rsidRPr="00481671">
              <w:rPr>
                <w:rFonts w:ascii="Tofino Regular" w:eastAsia="Tofino Regular" w:hAnsi="Tofino Regular" w:cs="Tofino Regular"/>
                <w:color w:val="000000"/>
                <w:sz w:val="20"/>
                <w:szCs w:val="20"/>
              </w:rPr>
              <w:t xml:space="preserve"> </w:t>
            </w:r>
            <w:r w:rsidRPr="00481671">
              <w:rPr>
                <w:rFonts w:ascii="Tofino Regular" w:eastAsia="Tofino Regular" w:hAnsi="Tofino Regular" w:cs="Tofino Regular"/>
                <w:sz w:val="20"/>
                <w:szCs w:val="20"/>
              </w:rPr>
              <w:t xml:space="preserve">artículo </w:t>
            </w:r>
            <w:r w:rsidR="00580777" w:rsidRPr="00481671">
              <w:rPr>
                <w:rFonts w:ascii="Tofino Regular" w:eastAsia="Tofino Regular" w:hAnsi="Tofino Regular" w:cs="Tofino Regular"/>
                <w:sz w:val="20"/>
                <w:szCs w:val="20"/>
              </w:rPr>
              <w:t>4</w:t>
            </w:r>
            <w:r w:rsidRPr="00481671">
              <w:rPr>
                <w:rFonts w:ascii="Tofino Regular" w:eastAsia="Tofino Regular" w:hAnsi="Tofino Regular" w:cs="Tofino Regular"/>
                <w:sz w:val="20"/>
                <w:szCs w:val="20"/>
              </w:rPr>
              <w:t xml:space="preserve"> fracción XXXIII de la Ley de la Agencia de Transporte de Yucatán.</w:t>
            </w:r>
          </w:p>
        </w:tc>
      </w:tr>
      <w:tr w:rsidR="00AD0543" w14:paraId="3FB8493B" w14:textId="77777777">
        <w:trPr>
          <w:trHeight w:val="7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E14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C02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convenios de coordinación de concertación con los sectores social y privado;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8410" w14:textId="66546B49" w:rsidR="00AD0543" w:rsidRDefault="002D289F">
            <w:pPr>
              <w:jc w:val="both"/>
              <w:rPr>
                <w:rFonts w:ascii="Tofino Regular" w:eastAsia="Tofino Regular" w:hAnsi="Tofino Regular" w:cs="Tofino Regular"/>
                <w:sz w:val="20"/>
                <w:szCs w:val="20"/>
                <w:shd w:val="clear" w:color="auto" w:fill="9900FF"/>
              </w:rPr>
            </w:pPr>
            <w:r>
              <w:rPr>
                <w:rFonts w:ascii="Tofino Regular" w:eastAsia="Tofino Regular" w:hAnsi="Tofino Regular" w:cs="Tofino Regular"/>
                <w:sz w:val="20"/>
                <w:szCs w:val="20"/>
              </w:rPr>
              <w:t xml:space="preserve">Le es aplicable, en términos del artículo </w:t>
            </w:r>
            <w:r w:rsidR="000F0D43">
              <w:rPr>
                <w:rFonts w:ascii="Tofino Regular" w:eastAsia="Tofino Regular" w:hAnsi="Tofino Regular" w:cs="Tofino Regular"/>
                <w:sz w:val="20"/>
                <w:szCs w:val="20"/>
              </w:rPr>
              <w:t>10 fracción XXII</w:t>
            </w:r>
            <w:r>
              <w:rPr>
                <w:rFonts w:ascii="Tofino Regular" w:eastAsia="Tofino Regular" w:hAnsi="Tofino Regular" w:cs="Tofino Regular"/>
                <w:sz w:val="20"/>
                <w:szCs w:val="20"/>
              </w:rPr>
              <w:t xml:space="preserve"> de la Ley de la Agencia de Transporte</w:t>
            </w:r>
            <w:r w:rsidR="005D562E">
              <w:rPr>
                <w:rFonts w:ascii="Tofino Regular" w:eastAsia="Tofino Regular" w:hAnsi="Tofino Regular" w:cs="Tofino Regular"/>
                <w:sz w:val="20"/>
                <w:szCs w:val="20"/>
              </w:rPr>
              <w:t xml:space="preserve"> de Yucatán</w:t>
            </w:r>
            <w:r>
              <w:rPr>
                <w:rFonts w:ascii="Tofino Regular" w:eastAsia="Tofino Regular" w:hAnsi="Tofino Regular" w:cs="Tofino Regular"/>
                <w:sz w:val="20"/>
                <w:szCs w:val="20"/>
              </w:rPr>
              <w:t>, es atribución de su titular suscribir acuerdos, convenios, contratos, acuerdos interinstitucionales y demás instrumentos jurídicos con los sectores público, privado y social, con autoridades federales, estatales y municipales y organismos internacionales según corresponda, en las materias competencia de la agencia, en los términos de las disposiciones aplicables para el cumplimiento de las atribuciones de la agencia</w:t>
            </w:r>
            <w:r w:rsidRPr="00E4650A">
              <w:rPr>
                <w:rFonts w:ascii="Tofino Regular" w:eastAsia="Tofino Regular" w:hAnsi="Tofino Regular" w:cs="Tofino Regular"/>
                <w:color w:val="FF0000"/>
                <w:sz w:val="20"/>
                <w:szCs w:val="20"/>
              </w:rPr>
              <w:t>.</w:t>
            </w:r>
          </w:p>
        </w:tc>
      </w:tr>
      <w:tr w:rsidR="00AD0543" w14:paraId="27D0F54F"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3A19"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8682"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inventario de bienes muebles e inmuebles en posesión y propiedad;</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F0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155 de la Ley del Presupuesto y Contabilidad Gubernamental del Estado de Yucatán, pues señala </w:t>
            </w:r>
            <w:proofErr w:type="gramStart"/>
            <w:r>
              <w:rPr>
                <w:rFonts w:ascii="Tofino Regular" w:eastAsia="Tofino Regular" w:hAnsi="Tofino Regular" w:cs="Tofino Regular"/>
                <w:sz w:val="20"/>
                <w:szCs w:val="20"/>
              </w:rPr>
              <w:t>que</w:t>
            </w:r>
            <w:proofErr w:type="gramEnd"/>
            <w:r>
              <w:rPr>
                <w:rFonts w:ascii="Tofino Regular" w:eastAsia="Tofino Regular" w:hAnsi="Tofino Regular" w:cs="Tofino Regular"/>
                <w:sz w:val="20"/>
                <w:szCs w:val="20"/>
              </w:rPr>
              <w:t xml:space="preserve"> como parte de la contabilidad gubernamental, los ejecutores del gasto, deberán llevar el registro de los bienes muebles e inmuebles.</w:t>
            </w:r>
          </w:p>
        </w:tc>
      </w:tr>
      <w:tr w:rsidR="00AD0543" w14:paraId="0309AE3B"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AFAB"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F00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recomendaciones emitidas por los órganos públicos del Estado mexicano u organismos internacionales garantes de los derechos humanos, así como las acciones que han llevado a cabo para su atención;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7CF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las personas servidoras públicas, entre ellos los Organismos Autónomos, quienes están obligados a responder dichas recomendaciones.</w:t>
            </w:r>
          </w:p>
        </w:tc>
      </w:tr>
      <w:tr w:rsidR="00AD0543" w14:paraId="48CA3926" w14:textId="77777777">
        <w:trPr>
          <w:trHeight w:val="74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BE37"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00F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resoluciones y laudos que se emitan en procesos o procedimientos seguidos en forma de juicio;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3BC1"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de conformidad con lo establecido en los Lineamientos Técnicos Generales, los sujetos obligados deberán publicar las resoluciones y/o laudos derivados de procesos judiciales, administrativos o arbitrales de los que sean parte; además de que publicarán de manera trimestral las determinaciones emitidas en procesos o procedimientos seguidos en forma de juicio.</w:t>
            </w:r>
          </w:p>
        </w:tc>
      </w:tr>
      <w:tr w:rsidR="00AD0543" w14:paraId="5466D290" w14:textId="77777777">
        <w:trPr>
          <w:trHeight w:val="2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3F1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6E5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mecanismos de participación ciudadana;</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6FB9"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en términos del artículo 4 fracción XI de la Agencia de Transporte de Yucatán, toda vez que se encuentra dentro de sus atribuciones establecer mecanismos de consulta tendientes a mejorar el servicio de transporte en el estado.</w:t>
            </w:r>
          </w:p>
        </w:tc>
      </w:tr>
      <w:tr w:rsidR="00AD0543" w14:paraId="1B0A368F" w14:textId="77777777" w:rsidTr="00A55A73">
        <w:trPr>
          <w:trHeight w:val="182"/>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CDA9" w14:textId="77777777" w:rsidR="00AD0543" w:rsidRDefault="002D289F">
            <w:pPr>
              <w:jc w:val="center"/>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t>XXXVIII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7CB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programas que ofrecen, incluyendo información sobre la población, objetivo y destino, así como los trámites, tiempos de respuesta, requisitos y formatos para acceder a los mismos;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A51E"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Le es aplicable, con base a los citados Lineamientos técnicos generales la Agencia publicará la información de todos los programas presupuestarios que, de conformidad con el Acuerdo por el que se emite la clasificación programática (Tipología general) emitido por el Consejo Nacional de Armonización Contable, sean distintos a los programas que están publicitados en el artículo 70, fracción XV de la Ley General (programas de subsidios, estímulos y apoyos, programas de transferencia, de servicios, de infraestructura social).</w:t>
            </w:r>
          </w:p>
        </w:tc>
      </w:tr>
      <w:tr w:rsidR="00AD0543" w14:paraId="04B10E69" w14:textId="77777777">
        <w:trPr>
          <w:trHeight w:val="50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CA70"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XXXIX</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17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actas y resoluciones del Comité de Transparencia de los sujetos obligados;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2075" w14:textId="77777777"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de conformidad con los artículos 24 fracción I de la Ley General de </w:t>
            </w:r>
            <w:r w:rsidRPr="00481671">
              <w:rPr>
                <w:rFonts w:ascii="Tofino Regular" w:eastAsia="Tofino Regular" w:hAnsi="Tofino Regular" w:cs="Tofino Regular"/>
                <w:sz w:val="20"/>
                <w:szCs w:val="20"/>
              </w:rPr>
              <w:lastRenderedPageBreak/>
              <w:t>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AD0543" w14:paraId="2B13D469" w14:textId="77777777" w:rsidTr="00A55A73">
        <w:trPr>
          <w:trHeight w:val="5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86D2"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F45E"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Todas las evaluaciones y encuestas que hagan los sujetos obligados a programas financiados con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12F4" w14:textId="6BA26228" w:rsidR="00AD0543" w:rsidRPr="00481671" w:rsidRDefault="002D289F">
            <w:pPr>
              <w:jc w:val="both"/>
              <w:rPr>
                <w:rFonts w:ascii="Tofino Regular" w:eastAsia="Tofino Regular" w:hAnsi="Tofino Regular" w:cs="Tofino Regular"/>
                <w:sz w:val="20"/>
                <w:szCs w:val="20"/>
              </w:rPr>
            </w:pPr>
            <w:r w:rsidRPr="00481671">
              <w:rPr>
                <w:rFonts w:ascii="Tofino Regular" w:eastAsia="Tofino Regular" w:hAnsi="Tofino Regular" w:cs="Tofino Regular"/>
                <w:sz w:val="20"/>
                <w:szCs w:val="20"/>
              </w:rPr>
              <w:t xml:space="preserve">Le es aplicable, por lo cual, la Agencia de Transporte de Yucatán, como ejecutor del gasto, en términos de lo dispuesto en la Ley General de Contabilidad Gubernamental y por las disposiciones emitidas por el Consejo Nacional de Armonización Contable, deberá publicar la información relacionada con los resultados de las evaluaciones de los programas a su cargo, de conformidad con los plazos y los términos previstos para tales efectos en el artículo 79 de la referida </w:t>
            </w:r>
            <w:r w:rsidR="005D562E">
              <w:rPr>
                <w:rFonts w:ascii="Tofino Regular" w:eastAsia="Tofino Regular" w:hAnsi="Tofino Regular" w:cs="Tofino Regular"/>
                <w:sz w:val="20"/>
                <w:szCs w:val="20"/>
              </w:rPr>
              <w:t>L</w:t>
            </w:r>
            <w:r w:rsidRPr="00481671">
              <w:rPr>
                <w:rFonts w:ascii="Tofino Regular" w:eastAsia="Tofino Regular" w:hAnsi="Tofino Regular" w:cs="Tofino Regular"/>
                <w:sz w:val="20"/>
                <w:szCs w:val="20"/>
              </w:rPr>
              <w:t>ey así como en la Norma para establecer el formato para la difusión de los resultados de las evaluaciones de los recursos federales ministrados a las entidades federativas, aplicables a la Federación, las entidades federativas, los municipios y, en su caso, las demarcaciones territoriales de la Ciudad de México, publicada por el Consejo Nacional de Armonización Contable, en el Diario Oficial de la Federación del 4 de abril de 2013, o sus subsecuentes modificaciones.</w:t>
            </w:r>
          </w:p>
        </w:tc>
      </w:tr>
      <w:tr w:rsidR="00AD0543" w14:paraId="12F45230" w14:textId="77777777" w:rsidTr="00A55A73">
        <w:trPr>
          <w:trHeight w:val="89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9BB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473E"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estudios financiados con recursos públicos;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0339"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Con motivo de lo anterior, el sujeto obligado deberá publicar un catálogo con todos los estudios que los sujetos obligados hayan financiado total o parcialmente con recursos públicos, como parte de su naturaleza, sus atribuciones y funciones y de acuerdo con su programación </w:t>
            </w:r>
            <w:r>
              <w:rPr>
                <w:rFonts w:ascii="Tofino Regular" w:eastAsia="Tofino Regular" w:hAnsi="Tofino Regular" w:cs="Tofino Regular"/>
                <w:sz w:val="20"/>
                <w:szCs w:val="20"/>
              </w:rPr>
              <w:lastRenderedPageBreak/>
              <w:t>presupuestal. Además, se proporcionarán los hipervínculos que permitan la consulta de los documentos que conforman tales estudios.</w:t>
            </w:r>
          </w:p>
        </w:tc>
      </w:tr>
      <w:tr w:rsidR="00AD0543" w14:paraId="04521C50" w14:textId="77777777">
        <w:trPr>
          <w:trHeight w:val="53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C2EB"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962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jubilados y pensionados y el monto que reciben;</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1567"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No le es aplicable, en razón que la Agencia de Transporte de Yucatán no es una institución de seguridad social, ni paga jubilaciones, ni pensiones de manera directa.</w:t>
            </w:r>
          </w:p>
        </w:tc>
      </w:tr>
      <w:tr w:rsidR="00AD0543" w14:paraId="04B36747" w14:textId="77777777">
        <w:trPr>
          <w:trHeight w:val="67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E155"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6388"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ingresos recibidos por cualquier concepto señalando el nombre de los responsables de recibirlos, administrarlos y ejercerlos, así como su destino, indicando el destino de cada uno de ellos;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103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dispuesto en el artículo 6 de la Ley de la Agencia de Transporte de Yucatán, precepto normativo que señala cómo se integra su patrimonio.</w:t>
            </w:r>
          </w:p>
        </w:tc>
      </w:tr>
      <w:tr w:rsidR="00AD0543" w14:paraId="0FA5D58D" w14:textId="77777777">
        <w:trPr>
          <w:trHeight w:val="75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B8F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32C6"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Donaciones hechas a terceros en dinero o en especie;</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BBC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con motivo de lo anterior, este sujeto obligado deberá publicar la información relativa a los donativos que entreguen, los cuales, en términos del Clasificador por Objeto de Gasto emitido por el Consejo Nacional para la Armonización Contable (CONAC) son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tc>
      </w:tr>
      <w:tr w:rsidR="00AD0543" w14:paraId="4E392B6A" w14:textId="77777777">
        <w:trPr>
          <w:trHeight w:val="780"/>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2E0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B2E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El catálogo de disposición y guía de archivo documental;</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AC92" w14:textId="77777777" w:rsidR="00AD0543" w:rsidRDefault="002D289F">
            <w:pPr>
              <w:jc w:val="both"/>
              <w:rPr>
                <w:rFonts w:ascii="Tofino Regular" w:eastAsia="Tofino Regular" w:hAnsi="Tofino Regular" w:cs="Tofino Regular"/>
                <w:b/>
                <w:sz w:val="20"/>
                <w:szCs w:val="20"/>
              </w:rPr>
            </w:pPr>
            <w:r>
              <w:rPr>
                <w:rFonts w:ascii="Tofino Regular" w:eastAsia="Tofino Regular" w:hAnsi="Tofino Regular" w:cs="Tofino Regular"/>
                <w:sz w:val="20"/>
                <w:szCs w:val="20"/>
              </w:rPr>
              <w:t>Le es aplicable, toda vez que de conformidad con artículo 13 de la Ley General de Archivos, todos los sujetos obligados deben contar con los instrumentos de control y consulta archivísticos a los que hace referencia esta fracción.</w:t>
            </w:r>
          </w:p>
        </w:tc>
      </w:tr>
      <w:tr w:rsidR="00AD0543" w14:paraId="709E02EF" w14:textId="77777777">
        <w:trPr>
          <w:trHeight w:val="103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5B33"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7743"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actas de sesiones ordinarias y extraordinarias, así como las opiniones y recomendaciones que emitan, en su caso, los consejos consultivos;</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26F9" w14:textId="77777777" w:rsidR="00AD0543" w:rsidRDefault="002D289F">
            <w:pPr>
              <w:shd w:val="clear" w:color="auto" w:fill="FFFFFF"/>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términos de lo establecido en el capítulo VI, del título primero de la Ley de la Agencia de Transporte de Yucatán.</w:t>
            </w:r>
          </w:p>
        </w:tc>
      </w:tr>
      <w:tr w:rsidR="00AD0543" w14:paraId="1CECEF04" w14:textId="77777777">
        <w:trPr>
          <w:trHeight w:val="39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7AEA"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5905"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Para efectos estadísticos, el listado de solicitudes a las empresas concesionarias de telecomunicaciones y proveedores de servicios o aplicaciones </w:t>
            </w:r>
            <w:r>
              <w:rPr>
                <w:rFonts w:ascii="Tofino Regular" w:eastAsia="Tofino Regular" w:hAnsi="Tofino Regular" w:cs="Tofino Regular"/>
                <w:sz w:val="20"/>
                <w:szCs w:val="20"/>
              </w:rPr>
              <w:lastRenderedPageBreak/>
              <w:t>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F1F3" w14:textId="77777777" w:rsidR="00AD0543" w:rsidRDefault="002D289F">
            <w:pPr>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lastRenderedPageBreak/>
              <w:t xml:space="preserve">No le es aplicable, </w:t>
            </w:r>
            <w:proofErr w:type="gramStart"/>
            <w:r>
              <w:rPr>
                <w:rFonts w:ascii="Tofino Regular" w:eastAsia="Tofino Regular" w:hAnsi="Tofino Regular" w:cs="Tofino Regular"/>
                <w:color w:val="000000"/>
                <w:sz w:val="20"/>
                <w:szCs w:val="20"/>
              </w:rPr>
              <w:t>en razón de</w:t>
            </w:r>
            <w:proofErr w:type="gramEnd"/>
            <w:r>
              <w:rPr>
                <w:rFonts w:ascii="Tofino Regular" w:eastAsia="Tofino Regular" w:hAnsi="Tofino Regular" w:cs="Tofino Regular"/>
                <w:color w:val="000000"/>
                <w:sz w:val="20"/>
                <w:szCs w:val="20"/>
              </w:rPr>
              <w:t xml:space="preserve"> que este sujeto obligado no tiene competencias, facultades o funciones para solicitar la intervención de comunicaciones privadas. </w:t>
            </w:r>
          </w:p>
        </w:tc>
      </w:tr>
      <w:tr w:rsidR="00AD0543" w14:paraId="63D666D3" w14:textId="77777777">
        <w:trPr>
          <w:trHeight w:val="123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2A1E" w14:textId="77777777" w:rsidR="00AD0543" w:rsidRDefault="002D289F">
            <w:pPr>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XLVIII</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AD8B"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Cualquier otra información que sea de utilidad o se considere relevante, además de la que, con base en la información estadística, responda a las preguntas hechas con más frecuencia por el público.</w:t>
            </w:r>
          </w:p>
        </w:tc>
        <w:tc>
          <w:tcPr>
            <w:tcW w:w="4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95DF"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14:paraId="33338C30" w14:textId="77777777" w:rsidR="00AD0543" w:rsidRDefault="00AD0543">
      <w:pPr>
        <w:jc w:val="both"/>
        <w:rPr>
          <w:b/>
        </w:rPr>
      </w:pPr>
    </w:p>
    <w:p w14:paraId="1E7D9B7F" w14:textId="77777777" w:rsidR="00AD0543" w:rsidRPr="00D878EA" w:rsidRDefault="002D289F">
      <w:pPr>
        <w:spacing w:after="200"/>
        <w:jc w:val="both"/>
        <w:rPr>
          <w:rFonts w:ascii="Tofino Regular" w:hAnsi="Tofino Regular"/>
          <w:sz w:val="20"/>
          <w:szCs w:val="20"/>
        </w:rPr>
      </w:pPr>
      <w:r w:rsidRPr="00D878EA">
        <w:rPr>
          <w:rFonts w:ascii="Tofino Regular" w:hAnsi="Tofino Regular"/>
          <w:sz w:val="20"/>
          <w:szCs w:val="20"/>
        </w:rPr>
        <w:t>Por lo anteriormente expuesto y fundado, el Pleno del Instituto Estatal de Transparencia, Acceso a la Información Pública y Protección de Datos Personales, emite el siguiente:</w:t>
      </w:r>
    </w:p>
    <w:p w14:paraId="53C31B78" w14:textId="77777777" w:rsidR="00AD0543" w:rsidRDefault="002D289F">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7F01BD9B" w14:textId="77777777" w:rsidR="00AD0543" w:rsidRDefault="00AD0543">
      <w:pPr>
        <w:jc w:val="center"/>
        <w:rPr>
          <w:rFonts w:ascii="Tofino Regular" w:eastAsia="Tofino Regular" w:hAnsi="Tofino Regular" w:cs="Tofino Regular"/>
          <w:b/>
          <w:sz w:val="20"/>
          <w:szCs w:val="20"/>
        </w:rPr>
      </w:pPr>
    </w:p>
    <w:p w14:paraId="00D3DC8C" w14:textId="5D38A59C" w:rsidR="00AD0543" w:rsidRDefault="002D289F">
      <w:pPr>
        <w:jc w:val="both"/>
        <w:rPr>
          <w:rFonts w:ascii="Tofino Regular" w:eastAsia="Tofino Regular" w:hAnsi="Tofino Regular" w:cs="Tofino Regular"/>
          <w:sz w:val="20"/>
          <w:szCs w:val="20"/>
        </w:rPr>
      </w:pPr>
      <w:bookmarkStart w:id="1" w:name="_heading=h.1fob9te" w:colFirst="0" w:colLast="0"/>
      <w:bookmarkEnd w:id="1"/>
      <w:proofErr w:type="gramStart"/>
      <w:r>
        <w:rPr>
          <w:rFonts w:ascii="Tofino Regular" w:eastAsia="Tofino Regular" w:hAnsi="Tofino Regular" w:cs="Tofino Regular"/>
          <w:b/>
          <w:sz w:val="20"/>
          <w:szCs w:val="20"/>
        </w:rPr>
        <w:t>PRIMERO.-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Se autoriza por unanimidad de votos del Pleno, el Acuerdo de tabla de aplicabilidad de las obligaciones de transparencia comunes  de la Agencia de Transporte de Yucatán, en términos del último párrafo del artículo 70 de la Ley general de transparencia y acceso a la información pública, de conformidad con lo señalado en el considerando </w:t>
      </w:r>
      <w:r w:rsidR="00396FBB">
        <w:rPr>
          <w:rFonts w:ascii="Tofino Regular" w:eastAsia="Tofino Regular" w:hAnsi="Tofino Regular" w:cs="Tofino Regular"/>
          <w:sz w:val="20"/>
          <w:szCs w:val="20"/>
        </w:rPr>
        <w:t>CUARTO.</w:t>
      </w:r>
    </w:p>
    <w:p w14:paraId="5AC09670" w14:textId="77777777" w:rsidR="00AD0543" w:rsidRDefault="00AD0543">
      <w:pPr>
        <w:jc w:val="both"/>
        <w:rPr>
          <w:rFonts w:ascii="Tofino Regular" w:eastAsia="Tofino Regular" w:hAnsi="Tofino Regular" w:cs="Tofino Regular"/>
          <w:sz w:val="20"/>
          <w:szCs w:val="20"/>
        </w:rPr>
      </w:pPr>
    </w:p>
    <w:p w14:paraId="29582DA4" w14:textId="77777777" w:rsidR="00AD0543" w:rsidRPr="00481671" w:rsidRDefault="002D289F">
      <w:pPr>
        <w:jc w:val="both"/>
        <w:rPr>
          <w:rFonts w:ascii="Tofino Regular" w:eastAsia="Tofino Regular" w:hAnsi="Tofino Regular" w:cs="Tofino Regular"/>
          <w:b/>
          <w:sz w:val="20"/>
          <w:szCs w:val="20"/>
        </w:rPr>
      </w:pPr>
      <w:proofErr w:type="gramStart"/>
      <w:r>
        <w:rPr>
          <w:rFonts w:ascii="Tofino Regular" w:eastAsia="Tofino Regular" w:hAnsi="Tofino Regular" w:cs="Tofino Regular"/>
          <w:b/>
          <w:sz w:val="20"/>
          <w:szCs w:val="20"/>
        </w:rPr>
        <w:t>SEGUNDO.-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Se ordena al sujeto obligado referido, que identifique por cada obligación, las áreas que posean o generan la información, y que serán las </w:t>
      </w:r>
      <w:r w:rsidRPr="00481671">
        <w:rPr>
          <w:rFonts w:ascii="Tofino Regular" w:eastAsia="Tofino Regular" w:hAnsi="Tofino Regular" w:cs="Tofino Regular"/>
          <w:sz w:val="20"/>
          <w:szCs w:val="20"/>
        </w:rPr>
        <w:t>responsables de publicar y actualizar cada una de las obligaciones comunes aplicables; en términos de lo señalado en el artículo 55 de la Ley estatal de la materia. En este sentido, también se le ordena publicar en su sitio de internet y en la Plataforma Nacional de Transparencia, la tabla de aplicabilidad aprobada, en el apartado dispuesto para el último párrafo del artículo 70 de la Ley General de Transparencia y Acceso a la Información Pública, en un plazo máximo de 15 días hábiles, contados a partir del día siguiente de la aprobación del presente.</w:t>
      </w:r>
    </w:p>
    <w:p w14:paraId="36DBC18C" w14:textId="77777777" w:rsidR="00AD0543" w:rsidRPr="00481671" w:rsidRDefault="00AD0543">
      <w:pPr>
        <w:jc w:val="both"/>
        <w:rPr>
          <w:rFonts w:ascii="Tofino Regular" w:eastAsia="Tofino Regular" w:hAnsi="Tofino Regular" w:cs="Tofino Regular"/>
          <w:sz w:val="20"/>
          <w:szCs w:val="20"/>
        </w:rPr>
      </w:pPr>
    </w:p>
    <w:p w14:paraId="03B6387A" w14:textId="77777777" w:rsidR="00EA6551" w:rsidRPr="00481671" w:rsidRDefault="002D289F" w:rsidP="00314EB9">
      <w:pPr>
        <w:shd w:val="clear" w:color="auto" w:fill="FFFFFF" w:themeFill="background1"/>
        <w:jc w:val="both"/>
        <w:rPr>
          <w:rFonts w:ascii="Tofino Regular" w:eastAsia="Tofino Regular" w:hAnsi="Tofino Regular" w:cs="Tofino Regular"/>
          <w:sz w:val="20"/>
          <w:szCs w:val="20"/>
        </w:rPr>
      </w:pPr>
      <w:proofErr w:type="gramStart"/>
      <w:r w:rsidRPr="00481671">
        <w:rPr>
          <w:rFonts w:ascii="Tofino Regular" w:eastAsia="Tofino Regular" w:hAnsi="Tofino Regular" w:cs="Tofino Regular"/>
          <w:b/>
          <w:sz w:val="20"/>
          <w:szCs w:val="20"/>
        </w:rPr>
        <w:lastRenderedPageBreak/>
        <w:t>TERCERO.-</w:t>
      </w:r>
      <w:proofErr w:type="gramEnd"/>
      <w:r w:rsidRPr="00481671">
        <w:rPr>
          <w:rFonts w:ascii="Tofino Regular" w:eastAsia="Tofino Regular" w:hAnsi="Tofino Regular" w:cs="Tofino Regular"/>
          <w:b/>
          <w:sz w:val="20"/>
          <w:szCs w:val="20"/>
        </w:rPr>
        <w:t xml:space="preserve"> </w:t>
      </w:r>
      <w:r w:rsidRPr="00481671">
        <w:rPr>
          <w:rFonts w:ascii="Tofino Regular" w:eastAsia="Tofino Regular" w:hAnsi="Tofino Regular" w:cs="Tofino Regular"/>
          <w:sz w:val="20"/>
          <w:szCs w:val="20"/>
        </w:rPr>
        <w:t>Para la publicación y actualización de las obligaciones de transparencia comunes, el sujeto obligado contará con un periodo de seis meses para publicar en la Plataforma Nacional y en su sitio de Internet la información derivada de sus obligaciones de transparencia. Dicho periodo se contará a partir de que el órgano garante proporcione a la persona Titular de la Unidad de Transparencia los elementos de seguridad de la PNT para acceder a los sistemas, a saber, la clave de usuario y contraseña, de conformidad con lo establecido en el numeral cuarto, fracción III, de los Lineamientos técnicos generales.</w:t>
      </w:r>
      <w:r w:rsidR="00314EB9" w:rsidRPr="00481671">
        <w:rPr>
          <w:rFonts w:ascii="Tofino Regular" w:eastAsia="Tofino Regular" w:hAnsi="Tofino Regular" w:cs="Tofino Regular"/>
          <w:sz w:val="20"/>
          <w:szCs w:val="20"/>
        </w:rPr>
        <w:t xml:space="preserve"> </w:t>
      </w:r>
    </w:p>
    <w:p w14:paraId="2EA2429F" w14:textId="77777777" w:rsidR="00481671" w:rsidRPr="00481671" w:rsidRDefault="00481671">
      <w:pPr>
        <w:jc w:val="both"/>
        <w:rPr>
          <w:rFonts w:ascii="Tofino Regular" w:eastAsia="Tofino Regular" w:hAnsi="Tofino Regular" w:cs="Tofino Regular"/>
          <w:color w:val="FF0000"/>
          <w:sz w:val="20"/>
          <w:szCs w:val="20"/>
        </w:rPr>
      </w:pPr>
    </w:p>
    <w:p w14:paraId="534C5682" w14:textId="6B942D7F" w:rsidR="00AD0543" w:rsidRDefault="002D289F">
      <w:pPr>
        <w:jc w:val="both"/>
        <w:rPr>
          <w:rFonts w:ascii="Tofino Regular" w:eastAsia="Tofino Regular" w:hAnsi="Tofino Regular" w:cs="Tofino Regular"/>
          <w:sz w:val="20"/>
          <w:szCs w:val="20"/>
        </w:rPr>
      </w:pPr>
      <w:r w:rsidRPr="00B95241">
        <w:rPr>
          <w:rFonts w:ascii="Tofino Regular" w:eastAsia="Tofino Regular" w:hAnsi="Tofino Regular" w:cs="Tofino Regular"/>
          <w:sz w:val="20"/>
          <w:szCs w:val="20"/>
        </w:rPr>
        <w:t>Para la actualización y publicación de la información, se tomará en consideración los periodos de actualización y de conservación aplicables a cada una de las obligaciones comunes; por lo que se deberá considerar como punto de partida el inicio de operaciones del sujeto obligado, a saber, la entrada en vigor de la Ley de la Agencia de Transporte de Yucatán, el 29 de diciembre 2023.</w:t>
      </w:r>
    </w:p>
    <w:p w14:paraId="329FAA12" w14:textId="77777777" w:rsidR="00AD0543" w:rsidRDefault="00AD0543">
      <w:pPr>
        <w:jc w:val="both"/>
        <w:rPr>
          <w:rFonts w:ascii="Tofino Regular" w:eastAsia="Tofino Regular" w:hAnsi="Tofino Regular" w:cs="Tofino Regular"/>
          <w:b/>
          <w:sz w:val="20"/>
          <w:szCs w:val="20"/>
        </w:rPr>
      </w:pPr>
    </w:p>
    <w:p w14:paraId="324C3D25" w14:textId="77777777" w:rsidR="00AD0543" w:rsidRDefault="002D289F">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CUARTO.-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Se ordena a la Dirección de Asuntos Jurídicos y Plenarios, para que a través de la Subdirección de Asuntos Jurídicos y Fortalecimiento Institucional del Instituto Estatal de Transparencia, Acceso a la Información Pública y Protección de Datos Personales, notifique al sujeto obligado referido en el considerando CUARTO, el acuerdo que hoy nos ocupa.</w:t>
      </w:r>
    </w:p>
    <w:p w14:paraId="31D28EA8" w14:textId="77777777" w:rsidR="00AD0543" w:rsidRDefault="00AD0543">
      <w:pPr>
        <w:jc w:val="both"/>
        <w:rPr>
          <w:rFonts w:ascii="Tofino Regular" w:eastAsia="Tofino Regular" w:hAnsi="Tofino Regular" w:cs="Tofino Regular"/>
          <w:sz w:val="20"/>
          <w:szCs w:val="20"/>
        </w:rPr>
      </w:pPr>
    </w:p>
    <w:p w14:paraId="75B7912E" w14:textId="77777777" w:rsidR="00AD0543" w:rsidRDefault="002D289F">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QUINTO.-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 </w:t>
      </w:r>
    </w:p>
    <w:p w14:paraId="1E497CDC" w14:textId="77777777" w:rsidR="00AD0543" w:rsidRDefault="00AD0543">
      <w:pPr>
        <w:jc w:val="both"/>
        <w:rPr>
          <w:rFonts w:ascii="Tofino Regular" w:eastAsia="Tofino Regular" w:hAnsi="Tofino Regular" w:cs="Tofino Regular"/>
          <w:sz w:val="20"/>
          <w:szCs w:val="20"/>
        </w:rPr>
      </w:pPr>
    </w:p>
    <w:p w14:paraId="0447D42D" w14:textId="77777777" w:rsidR="00AD0543" w:rsidRDefault="002D289F">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Así lo acordaron y firman para debida constancia, los integrantes del Pleno del Instituto Estatal de Transparencia, Acceso a la Información Pública y Protección de Datos Personales:</w:t>
      </w:r>
    </w:p>
    <w:tbl>
      <w:tblPr>
        <w:tblStyle w:val="a0"/>
        <w:tblW w:w="9214" w:type="dxa"/>
        <w:tblInd w:w="-5" w:type="dxa"/>
        <w:tblLayout w:type="fixed"/>
        <w:tblLook w:val="0400" w:firstRow="0" w:lastRow="0" w:firstColumn="0" w:lastColumn="0" w:noHBand="0" w:noVBand="1"/>
      </w:tblPr>
      <w:tblGrid>
        <w:gridCol w:w="4678"/>
        <w:gridCol w:w="4536"/>
      </w:tblGrid>
      <w:tr w:rsidR="00AD0543" w14:paraId="49B1DDF0" w14:textId="77777777">
        <w:trPr>
          <w:trHeight w:val="859"/>
        </w:trPr>
        <w:tc>
          <w:tcPr>
            <w:tcW w:w="9214" w:type="dxa"/>
            <w:gridSpan w:val="2"/>
          </w:tcPr>
          <w:p w14:paraId="52A36411" w14:textId="77777777" w:rsidR="00AD0543" w:rsidRDefault="00AD0543">
            <w:pPr>
              <w:pBdr>
                <w:top w:val="nil"/>
                <w:left w:val="nil"/>
                <w:bottom w:val="nil"/>
                <w:right w:val="nil"/>
                <w:between w:val="nil"/>
              </w:pBdr>
              <w:spacing w:line="256" w:lineRule="auto"/>
              <w:rPr>
                <w:rFonts w:ascii="Tofino Regular" w:eastAsia="Tofino Regular" w:hAnsi="Tofino Regular" w:cs="Tofino Regular"/>
                <w:b/>
                <w:color w:val="000000"/>
                <w:sz w:val="20"/>
                <w:szCs w:val="20"/>
              </w:rPr>
            </w:pPr>
          </w:p>
          <w:p w14:paraId="6142AFF9"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665CE74"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AAE20A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5280282"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0AF50C86" w14:textId="77777777" w:rsidR="00AD0543" w:rsidRDefault="002D289F">
            <w:pPr>
              <w:pBdr>
                <w:top w:val="nil"/>
                <w:left w:val="nil"/>
                <w:bottom w:val="nil"/>
                <w:right w:val="nil"/>
                <w:between w:val="nil"/>
              </w:pBdr>
              <w:spacing w:line="256" w:lineRule="auto"/>
              <w:ind w:right="23"/>
              <w:jc w:val="center"/>
              <w:rPr>
                <w:rFonts w:ascii="Tofino Regular" w:eastAsia="Tofino Regular" w:hAnsi="Tofino Regular" w:cs="Tofino Regular"/>
                <w:color w:val="000000"/>
                <w:sz w:val="20"/>
                <w:szCs w:val="20"/>
              </w:rPr>
            </w:pPr>
            <w:r>
              <w:rPr>
                <w:rFonts w:ascii="Tofino Regular" w:eastAsia="Tofino Regular" w:hAnsi="Tofino Regular" w:cs="Tofino Regular"/>
                <w:b/>
                <w:color w:val="000000"/>
                <w:sz w:val="20"/>
                <w:szCs w:val="20"/>
              </w:rPr>
              <w:t>MTRA. MARÍA GILDA SEGOVIA CHAB</w:t>
            </w:r>
          </w:p>
          <w:p w14:paraId="75EE153E"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COMISIONADA PRESIDENTA</w:t>
            </w:r>
          </w:p>
        </w:tc>
      </w:tr>
      <w:tr w:rsidR="00AD0543" w14:paraId="1C577EEF" w14:textId="77777777">
        <w:trPr>
          <w:trHeight w:val="859"/>
        </w:trPr>
        <w:tc>
          <w:tcPr>
            <w:tcW w:w="4678" w:type="dxa"/>
          </w:tcPr>
          <w:p w14:paraId="479C281D"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CBBB7E7"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88AEAD0"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645F1BD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FBC88C9"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6ED853E5"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DR. CARLOS FERNANDO PAVÓN DURÁN</w:t>
            </w:r>
          </w:p>
          <w:p w14:paraId="7C175FF7"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c>
          <w:tcPr>
            <w:tcW w:w="4536" w:type="dxa"/>
          </w:tcPr>
          <w:p w14:paraId="27C9769A"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76D7ACC3"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B0BA53B"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8CEB3F5"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CDA8A95" w14:textId="77777777" w:rsidR="00AD0543" w:rsidRDefault="00AD054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77034207"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LIC. MAURICIO MORENO MENDOZA</w:t>
            </w:r>
          </w:p>
          <w:p w14:paraId="530906D2" w14:textId="77777777" w:rsidR="00AD0543" w:rsidRDefault="002D289F">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r>
    </w:tbl>
    <w:p w14:paraId="63AD45BA" w14:textId="77777777" w:rsidR="00AD0543" w:rsidRDefault="00AD0543"/>
    <w:p w14:paraId="05745575" w14:textId="3CED645E" w:rsidR="00345651" w:rsidRDefault="00345651"/>
    <w:p w14:paraId="789176D7" w14:textId="0BD76ADD" w:rsidR="00396FBB" w:rsidRDefault="00396FBB"/>
    <w:p w14:paraId="4A65D838" w14:textId="77777777" w:rsidR="00396FBB" w:rsidRDefault="00396FBB"/>
    <w:p w14:paraId="5F1C25C0" w14:textId="6D228805" w:rsidR="00345651" w:rsidRDefault="00345651" w:rsidP="00345651">
      <w:pPr>
        <w:jc w:val="center"/>
        <w:rPr>
          <w:b/>
          <w:bCs/>
        </w:rPr>
      </w:pPr>
      <w:r w:rsidRPr="00345651">
        <w:rPr>
          <w:b/>
          <w:bCs/>
        </w:rPr>
        <w:t>ANEXO ÚNICO</w:t>
      </w:r>
    </w:p>
    <w:p w14:paraId="1DC6B3F3" w14:textId="77777777" w:rsidR="00345651" w:rsidRDefault="00345651" w:rsidP="00345651">
      <w:pPr>
        <w:jc w:val="center"/>
        <w:rPr>
          <w:b/>
          <w:bCs/>
        </w:rPr>
      </w:pPr>
    </w:p>
    <w:tbl>
      <w:tblPr>
        <w:tblW w:w="11682" w:type="dxa"/>
        <w:jc w:val="center"/>
        <w:tblLayout w:type="fixed"/>
        <w:tblCellMar>
          <w:left w:w="0" w:type="dxa"/>
          <w:right w:w="0" w:type="dxa"/>
        </w:tblCellMar>
        <w:tblLook w:val="04A0" w:firstRow="1" w:lastRow="0" w:firstColumn="1" w:lastColumn="0" w:noHBand="0" w:noVBand="1"/>
      </w:tblPr>
      <w:tblGrid>
        <w:gridCol w:w="1410"/>
        <w:gridCol w:w="2268"/>
        <w:gridCol w:w="1984"/>
        <w:gridCol w:w="3740"/>
        <w:gridCol w:w="2280"/>
      </w:tblGrid>
      <w:tr w:rsidR="00345651" w:rsidRPr="002B45F1" w14:paraId="2525CBAB" w14:textId="77777777" w:rsidTr="001A6A34">
        <w:trPr>
          <w:trHeight w:val="1328"/>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14:paraId="78B88E05"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Clave</w:t>
            </w:r>
          </w:p>
        </w:tc>
        <w:tc>
          <w:tcPr>
            <w:tcW w:w="226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5B2D44EF"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Sujeto Obligado</w:t>
            </w:r>
          </w:p>
        </w:tc>
        <w:tc>
          <w:tcPr>
            <w:tcW w:w="1984"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72BA6D0C"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 xml:space="preserve">Fecha en el que se presentó </w:t>
            </w:r>
          </w:p>
        </w:tc>
        <w:tc>
          <w:tcPr>
            <w:tcW w:w="374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74F65899"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Fracciones que indicaron que les aplica.</w:t>
            </w:r>
          </w:p>
        </w:tc>
        <w:tc>
          <w:tcPr>
            <w:tcW w:w="228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29B1CD82" w14:textId="77777777" w:rsidR="00345651" w:rsidRPr="002B45F1" w:rsidRDefault="00345651" w:rsidP="001A6A34">
            <w:pPr>
              <w:jc w:val="center"/>
              <w:rPr>
                <w:rFonts w:asciiTheme="majorHAnsi" w:eastAsia="Times New Roman" w:hAnsiTheme="majorHAnsi" w:cstheme="majorHAnsi"/>
                <w:b/>
                <w:bCs/>
                <w:color w:val="000000"/>
              </w:rPr>
            </w:pPr>
            <w:r w:rsidRPr="002B45F1">
              <w:rPr>
                <w:rFonts w:asciiTheme="majorHAnsi" w:eastAsia="Times New Roman" w:hAnsiTheme="majorHAnsi" w:cstheme="majorHAnsi"/>
                <w:b/>
                <w:bCs/>
                <w:color w:val="000000"/>
              </w:rPr>
              <w:t>Fracciones que indicaron que no les aplica.</w:t>
            </w:r>
          </w:p>
        </w:tc>
      </w:tr>
      <w:tr w:rsidR="00345651" w:rsidRPr="002B45F1" w14:paraId="3C2EF2F7" w14:textId="77777777" w:rsidTr="001A6A34">
        <w:trPr>
          <w:trHeight w:val="94"/>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14:paraId="360337FD" w14:textId="6C56C30E" w:rsidR="00345651" w:rsidRPr="002B45F1" w:rsidRDefault="00CA1EBD" w:rsidP="001A6A34">
            <w:pPr>
              <w:jc w:val="center"/>
              <w:rPr>
                <w:rFonts w:asciiTheme="majorHAnsi" w:eastAsia="Times New Roman" w:hAnsiTheme="majorHAnsi" w:cstheme="majorHAnsi"/>
                <w:color w:val="000000"/>
              </w:rPr>
            </w:pPr>
            <w:r>
              <w:rPr>
                <w:rFonts w:ascii="Arial" w:hAnsi="Arial" w:cs="Arial"/>
                <w:color w:val="000000"/>
                <w:shd w:val="clear" w:color="auto" w:fill="FFFFFF"/>
              </w:rPr>
              <w:t>31-05-09-001</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7A8B9" w14:textId="12DFD0DC" w:rsidR="00345651" w:rsidRPr="002B45F1" w:rsidRDefault="00CA1EBD" w:rsidP="001A6A34">
            <w:pPr>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Agencia de Transporte de Yucatán. </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608371" w14:textId="50ECB08E" w:rsidR="00345651" w:rsidRPr="002B45F1" w:rsidRDefault="00CA1EBD" w:rsidP="001A6A34">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13 de diciembre 2024</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F75C5" w14:textId="18F2199B" w:rsidR="00345651" w:rsidRPr="002B45F1" w:rsidRDefault="00345651" w:rsidP="001A6A34">
            <w:pPr>
              <w:jc w:val="center"/>
              <w:rPr>
                <w:rFonts w:asciiTheme="majorHAnsi" w:eastAsia="Times New Roman" w:hAnsiTheme="majorHAnsi" w:cstheme="majorHAnsi"/>
                <w:color w:val="000000"/>
                <w:lang w:val="en-US"/>
              </w:rPr>
            </w:pPr>
            <w:r w:rsidRPr="002B45F1">
              <w:rPr>
                <w:rFonts w:asciiTheme="majorHAnsi" w:eastAsia="Times New Roman" w:hAnsiTheme="majorHAnsi" w:cstheme="majorHAnsi"/>
                <w:color w:val="000000"/>
                <w:lang w:val="en-US"/>
              </w:rPr>
              <w:t>I, II, III, IV, V, VI, VII, VIII, IX, X, XI,</w:t>
            </w:r>
            <w:r w:rsidR="00CA1EBD">
              <w:rPr>
                <w:rFonts w:asciiTheme="majorHAnsi" w:eastAsia="Times New Roman" w:hAnsiTheme="majorHAnsi" w:cstheme="majorHAnsi"/>
                <w:color w:val="000000"/>
                <w:lang w:val="en-US"/>
              </w:rPr>
              <w:t xml:space="preserve"> XII,</w:t>
            </w:r>
            <w:r w:rsidRPr="002B45F1">
              <w:rPr>
                <w:rFonts w:asciiTheme="majorHAnsi" w:eastAsia="Times New Roman" w:hAnsiTheme="majorHAnsi" w:cstheme="majorHAnsi"/>
                <w:color w:val="000000"/>
                <w:lang w:val="en-US"/>
              </w:rPr>
              <w:t xml:space="preserve"> XIII, XIV, </w:t>
            </w:r>
            <w:r w:rsidR="00CA1EBD">
              <w:rPr>
                <w:rFonts w:asciiTheme="majorHAnsi" w:eastAsia="Times New Roman" w:hAnsiTheme="majorHAnsi" w:cstheme="majorHAnsi"/>
                <w:color w:val="000000"/>
                <w:lang w:val="en-US"/>
              </w:rPr>
              <w:t xml:space="preserve">XV, </w:t>
            </w:r>
            <w:r w:rsidRPr="002B45F1">
              <w:rPr>
                <w:rFonts w:asciiTheme="majorHAnsi" w:eastAsia="Times New Roman" w:hAnsiTheme="majorHAnsi" w:cstheme="majorHAnsi"/>
                <w:color w:val="000000"/>
                <w:lang w:val="en-US"/>
              </w:rPr>
              <w:t xml:space="preserve">XVI, XVII, XVIII, XIX, XX, XXI, </w:t>
            </w:r>
            <w:r w:rsidR="00CA1EBD">
              <w:rPr>
                <w:rFonts w:asciiTheme="majorHAnsi" w:eastAsia="Times New Roman" w:hAnsiTheme="majorHAnsi" w:cstheme="majorHAnsi"/>
                <w:color w:val="000000"/>
                <w:lang w:val="en-US"/>
              </w:rPr>
              <w:t xml:space="preserve">XXII, </w:t>
            </w:r>
            <w:r w:rsidRPr="002B45F1">
              <w:rPr>
                <w:rFonts w:asciiTheme="majorHAnsi" w:eastAsia="Times New Roman" w:hAnsiTheme="majorHAnsi" w:cstheme="majorHAnsi"/>
                <w:color w:val="000000"/>
                <w:lang w:val="en-US"/>
              </w:rPr>
              <w:t xml:space="preserve">XXIII, XXIV, XXV, </w:t>
            </w:r>
            <w:r w:rsidR="00CA1EBD">
              <w:rPr>
                <w:rFonts w:asciiTheme="majorHAnsi" w:eastAsia="Times New Roman" w:hAnsiTheme="majorHAnsi" w:cstheme="majorHAnsi"/>
                <w:color w:val="000000"/>
                <w:lang w:val="en-US"/>
              </w:rPr>
              <w:t xml:space="preserve">XXVI, </w:t>
            </w:r>
            <w:r w:rsidRPr="002B45F1">
              <w:rPr>
                <w:rFonts w:asciiTheme="majorHAnsi" w:eastAsia="Times New Roman" w:hAnsiTheme="majorHAnsi" w:cstheme="majorHAnsi"/>
                <w:color w:val="000000"/>
                <w:lang w:val="en-US"/>
              </w:rPr>
              <w:t xml:space="preserve">XXVII, XXVIII, XXIX, </w:t>
            </w:r>
            <w:r w:rsidR="00CA1EBD">
              <w:rPr>
                <w:rFonts w:asciiTheme="majorHAnsi" w:eastAsia="Times New Roman" w:hAnsiTheme="majorHAnsi" w:cstheme="majorHAnsi"/>
                <w:color w:val="000000"/>
                <w:lang w:val="en-US"/>
              </w:rPr>
              <w:t xml:space="preserve">XXX, </w:t>
            </w:r>
            <w:r w:rsidRPr="002B45F1">
              <w:rPr>
                <w:rFonts w:asciiTheme="majorHAnsi" w:eastAsia="Times New Roman" w:hAnsiTheme="majorHAnsi" w:cstheme="majorHAnsi"/>
                <w:color w:val="000000"/>
                <w:lang w:val="en-US"/>
              </w:rPr>
              <w:t xml:space="preserve">XXXI, XXXII, XXXIII, XXXIV, XXXV, XXXVI, </w:t>
            </w:r>
            <w:r w:rsidR="00CA1EBD">
              <w:rPr>
                <w:rFonts w:asciiTheme="majorHAnsi" w:eastAsia="Times New Roman" w:hAnsiTheme="majorHAnsi" w:cstheme="majorHAnsi"/>
                <w:color w:val="000000"/>
                <w:lang w:val="en-US"/>
              </w:rPr>
              <w:t xml:space="preserve">XXXVII, </w:t>
            </w:r>
            <w:r w:rsidRPr="002B45F1">
              <w:rPr>
                <w:rFonts w:asciiTheme="majorHAnsi" w:eastAsia="Times New Roman" w:hAnsiTheme="majorHAnsi" w:cstheme="majorHAnsi"/>
                <w:color w:val="000000"/>
                <w:lang w:val="en-US"/>
              </w:rPr>
              <w:t>XXXVIII, XXXIX,</w:t>
            </w:r>
            <w:r w:rsidRPr="00CA1EBD">
              <w:t xml:space="preserve"> </w:t>
            </w:r>
            <w:r w:rsidRPr="002B45F1">
              <w:rPr>
                <w:rFonts w:asciiTheme="majorHAnsi" w:eastAsia="Times New Roman" w:hAnsiTheme="majorHAnsi" w:cstheme="majorHAnsi"/>
                <w:color w:val="000000"/>
                <w:lang w:val="en-US"/>
              </w:rPr>
              <w:t xml:space="preserve">XL, </w:t>
            </w:r>
            <w:r w:rsidR="00CA1EBD">
              <w:rPr>
                <w:rFonts w:asciiTheme="majorHAnsi" w:eastAsia="Times New Roman" w:hAnsiTheme="majorHAnsi" w:cstheme="majorHAnsi"/>
                <w:color w:val="000000"/>
                <w:lang w:val="en-US"/>
              </w:rPr>
              <w:t>XLI</w:t>
            </w:r>
            <w:r w:rsidRPr="002B45F1">
              <w:rPr>
                <w:rFonts w:asciiTheme="majorHAnsi" w:eastAsia="Times New Roman" w:hAnsiTheme="majorHAnsi" w:cstheme="majorHAnsi"/>
                <w:color w:val="000000"/>
                <w:lang w:val="en-US"/>
              </w:rPr>
              <w:t>, XLIII, XLIV, XLV XLVI</w:t>
            </w:r>
            <w:r w:rsidR="00CA1EBD">
              <w:rPr>
                <w:rFonts w:asciiTheme="majorHAnsi" w:eastAsia="Times New Roman" w:hAnsiTheme="majorHAnsi" w:cstheme="majorHAnsi"/>
                <w:color w:val="000000"/>
                <w:lang w:val="en-US"/>
              </w:rPr>
              <w:t xml:space="preserve"> </w:t>
            </w:r>
            <w:r w:rsidRPr="002B45F1">
              <w:rPr>
                <w:rFonts w:asciiTheme="majorHAnsi" w:eastAsia="Times New Roman" w:hAnsiTheme="majorHAnsi" w:cstheme="majorHAnsi"/>
                <w:color w:val="000000"/>
                <w:lang w:val="en-US"/>
              </w:rPr>
              <w:t>y XLVIII.</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5D9BC" w14:textId="3DE84DB9" w:rsidR="00345651" w:rsidRPr="002B45F1" w:rsidRDefault="00CA1EBD" w:rsidP="001A6A34">
            <w:pPr>
              <w:jc w:val="center"/>
              <w:rPr>
                <w:rFonts w:asciiTheme="majorHAnsi" w:eastAsia="Times New Roman" w:hAnsiTheme="majorHAnsi" w:cstheme="majorHAnsi"/>
                <w:lang w:val="en-US"/>
              </w:rPr>
            </w:pPr>
            <w:r>
              <w:rPr>
                <w:rFonts w:asciiTheme="majorHAnsi" w:eastAsia="Times New Roman" w:hAnsiTheme="majorHAnsi" w:cstheme="majorHAnsi"/>
                <w:lang w:val="en-US"/>
              </w:rPr>
              <w:t>XLII y XLVII</w:t>
            </w:r>
          </w:p>
        </w:tc>
      </w:tr>
    </w:tbl>
    <w:p w14:paraId="66F46C39" w14:textId="77777777" w:rsidR="00345651" w:rsidRPr="00345651" w:rsidRDefault="00345651" w:rsidP="00345651">
      <w:pPr>
        <w:jc w:val="center"/>
        <w:rPr>
          <w:b/>
          <w:bCs/>
        </w:rPr>
      </w:pPr>
    </w:p>
    <w:sectPr w:rsidR="00345651" w:rsidRPr="00345651" w:rsidSect="00D878EA">
      <w:headerReference w:type="even" r:id="rId7"/>
      <w:headerReference w:type="default" r:id="rId8"/>
      <w:footerReference w:type="default" r:id="rId9"/>
      <w:headerReference w:type="first" r:id="rId10"/>
      <w:pgSz w:w="12240" w:h="15840"/>
      <w:pgMar w:top="1701" w:right="1701" w:bottom="1701" w:left="1701" w:header="9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7E48" w14:textId="77777777" w:rsidR="009B3854" w:rsidRDefault="009B3854">
      <w:r>
        <w:separator/>
      </w:r>
    </w:p>
  </w:endnote>
  <w:endnote w:type="continuationSeparator" w:id="0">
    <w:p w14:paraId="55F50B5F" w14:textId="77777777" w:rsidR="009B3854" w:rsidRDefault="009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altName w:val="Calibri"/>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49EC" w14:textId="5E28325C" w:rsidR="00AD0543" w:rsidRDefault="00A55A73" w:rsidP="00A55A73">
    <w:pPr>
      <w:pBdr>
        <w:top w:val="nil"/>
        <w:left w:val="nil"/>
        <w:bottom w:val="nil"/>
        <w:right w:val="nil"/>
        <w:between w:val="nil"/>
      </w:pBdr>
      <w:tabs>
        <w:tab w:val="center" w:pos="4419"/>
        <w:tab w:val="right" w:pos="8838"/>
      </w:tabs>
      <w:jc w:val="center"/>
      <w:rPr>
        <w:rFonts w:ascii="Arial" w:hAnsi="Arial" w:cs="Arial"/>
        <w:noProof/>
        <w:sz w:val="18"/>
        <w:szCs w:val="18"/>
      </w:rPr>
    </w:pPr>
    <w:r>
      <w:rPr>
        <w:noProof/>
      </w:rPr>
      <w:drawing>
        <wp:anchor distT="0" distB="0" distL="0" distR="0" simplePos="0" relativeHeight="251656704" behindDoc="1" locked="0" layoutInCell="1" hidden="0" allowOverlap="1" wp14:anchorId="54334AFF" wp14:editId="5243C191">
          <wp:simplePos x="0" y="0"/>
          <wp:positionH relativeFrom="column">
            <wp:posOffset>-832485</wp:posOffset>
          </wp:positionH>
          <wp:positionV relativeFrom="paragraph">
            <wp:posOffset>233680</wp:posOffset>
          </wp:positionV>
          <wp:extent cx="7367418" cy="455983"/>
          <wp:effectExtent l="0" t="0" r="0" b="0"/>
          <wp:wrapNone/>
          <wp:docPr id="13350627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21</w:t>
    </w:r>
    <w:r w:rsidRPr="00371BBE">
      <w:rPr>
        <w:rFonts w:ascii="Arial" w:hAnsi="Arial" w:cs="Arial"/>
        <w:noProof/>
        <w:sz w:val="18"/>
        <w:szCs w:val="18"/>
      </w:rPr>
      <w:fldChar w:fldCharType="end"/>
    </w:r>
  </w:p>
  <w:p w14:paraId="1C3ABEDA" w14:textId="77777777" w:rsidR="00A55A73" w:rsidRDefault="00A55A73" w:rsidP="00A55A73">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C2E4" w14:textId="77777777" w:rsidR="009B3854" w:rsidRDefault="009B3854">
      <w:r>
        <w:separator/>
      </w:r>
    </w:p>
  </w:footnote>
  <w:footnote w:type="continuationSeparator" w:id="0">
    <w:p w14:paraId="0872FFC2" w14:textId="77777777" w:rsidR="009B3854" w:rsidRDefault="009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A60C" w14:textId="77777777" w:rsidR="00AD0543" w:rsidRDefault="00396FBB">
    <w:pPr>
      <w:pBdr>
        <w:top w:val="nil"/>
        <w:left w:val="nil"/>
        <w:bottom w:val="nil"/>
        <w:right w:val="nil"/>
        <w:between w:val="nil"/>
      </w:pBdr>
      <w:tabs>
        <w:tab w:val="center" w:pos="4419"/>
        <w:tab w:val="right" w:pos="8838"/>
      </w:tabs>
      <w:rPr>
        <w:color w:val="000000"/>
      </w:rPr>
    </w:pPr>
    <w:r>
      <w:rPr>
        <w:color w:val="000000"/>
      </w:rPr>
      <w:pict w14:anchorId="66A11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Volumes/COMUNICACION/2023/Diciembre/Presentación del isologo de los 20 años/Recurso 3Membrete 20 años.png" style="position:absolute;margin-left:0;margin-top:0;width:441.3pt;height:319.2pt;z-index:-251656704;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CC61" w14:textId="7CBBC9F8" w:rsidR="00AD0543" w:rsidRDefault="00396FBB">
    <w:pPr>
      <w:pBdr>
        <w:top w:val="nil"/>
        <w:left w:val="nil"/>
        <w:bottom w:val="nil"/>
        <w:right w:val="nil"/>
        <w:between w:val="nil"/>
      </w:pBdr>
      <w:tabs>
        <w:tab w:val="center" w:pos="4419"/>
        <w:tab w:val="right" w:pos="8838"/>
      </w:tabs>
      <w:rPr>
        <w:color w:val="000000"/>
      </w:rPr>
    </w:pPr>
    <w:r>
      <w:rPr>
        <w:color w:val="000000"/>
      </w:rPr>
      <w:pict w14:anchorId="4CF9F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Volumes/COMUNICACION/2023/Diciembre/Presentación del isologo de los 20 años/Recurso 3Membrete 20 años.png" style="position:absolute;margin-left:0;margin-top:0;width:441.3pt;height:319.2pt;z-index:-251658752;mso-position-horizontal:center;mso-position-horizontal-relative:margin;mso-position-vertical:center;mso-position-vertical-relative:margin">
          <v:imagedata r:id="rId1" o:title="image3"/>
          <w10:wrap anchorx="margin" anchory="margin"/>
        </v:shape>
      </w:pict>
    </w:r>
    <w:r w:rsidR="002D289F">
      <w:rPr>
        <w:noProof/>
      </w:rPr>
      <w:drawing>
        <wp:anchor distT="0" distB="0" distL="114300" distR="114300" simplePos="0" relativeHeight="251655680" behindDoc="0" locked="0" layoutInCell="1" hidden="0" allowOverlap="1" wp14:anchorId="2BA3F660" wp14:editId="2E742428">
          <wp:simplePos x="0" y="0"/>
          <wp:positionH relativeFrom="column">
            <wp:posOffset>-935354</wp:posOffset>
          </wp:positionH>
          <wp:positionV relativeFrom="paragraph">
            <wp:posOffset>-461644</wp:posOffset>
          </wp:positionV>
          <wp:extent cx="5612130" cy="864235"/>
          <wp:effectExtent l="0" t="0" r="0" b="0"/>
          <wp:wrapTopAndBottom distT="0" distB="0"/>
          <wp:docPr id="19167359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612130" cy="8642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1485" w14:textId="77777777" w:rsidR="00AD0543" w:rsidRDefault="00396FBB">
    <w:pPr>
      <w:pBdr>
        <w:top w:val="nil"/>
        <w:left w:val="nil"/>
        <w:bottom w:val="nil"/>
        <w:right w:val="nil"/>
        <w:between w:val="nil"/>
      </w:pBdr>
      <w:tabs>
        <w:tab w:val="center" w:pos="4419"/>
        <w:tab w:val="right" w:pos="8838"/>
      </w:tabs>
      <w:rPr>
        <w:color w:val="000000"/>
      </w:rPr>
    </w:pPr>
    <w:r>
      <w:rPr>
        <w:color w:val="000000"/>
      </w:rPr>
      <w:pict w14:anchorId="402CA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olumes/COMUNICACION/2023/Diciembre/Presentación del isologo de los 20 años/Recurso 3Membrete 20 años.png" style="position:absolute;margin-left:0;margin-top:0;width:441.3pt;height:319.2pt;z-index:-251657728;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43"/>
    <w:rsid w:val="00020D82"/>
    <w:rsid w:val="000F0D43"/>
    <w:rsid w:val="000F6CE7"/>
    <w:rsid w:val="001C7308"/>
    <w:rsid w:val="002505BF"/>
    <w:rsid w:val="00273822"/>
    <w:rsid w:val="002D289F"/>
    <w:rsid w:val="002E1E16"/>
    <w:rsid w:val="002E24E7"/>
    <w:rsid w:val="00314EB9"/>
    <w:rsid w:val="00345651"/>
    <w:rsid w:val="003463EF"/>
    <w:rsid w:val="00366D50"/>
    <w:rsid w:val="00396FBB"/>
    <w:rsid w:val="00481671"/>
    <w:rsid w:val="004B0F24"/>
    <w:rsid w:val="00500EE7"/>
    <w:rsid w:val="00523F83"/>
    <w:rsid w:val="005342A2"/>
    <w:rsid w:val="00580777"/>
    <w:rsid w:val="005B0DBD"/>
    <w:rsid w:val="005D562E"/>
    <w:rsid w:val="006138F9"/>
    <w:rsid w:val="0069009D"/>
    <w:rsid w:val="00702A79"/>
    <w:rsid w:val="007058B7"/>
    <w:rsid w:val="007E5DBC"/>
    <w:rsid w:val="008335D7"/>
    <w:rsid w:val="00865582"/>
    <w:rsid w:val="00921EFE"/>
    <w:rsid w:val="009A3F60"/>
    <w:rsid w:val="009B3854"/>
    <w:rsid w:val="009E3086"/>
    <w:rsid w:val="00A524A0"/>
    <w:rsid w:val="00A529D4"/>
    <w:rsid w:val="00A55A73"/>
    <w:rsid w:val="00A72DE0"/>
    <w:rsid w:val="00AD0543"/>
    <w:rsid w:val="00B23B02"/>
    <w:rsid w:val="00B37653"/>
    <w:rsid w:val="00B65D64"/>
    <w:rsid w:val="00B67F32"/>
    <w:rsid w:val="00B95241"/>
    <w:rsid w:val="00BF3347"/>
    <w:rsid w:val="00BF4A28"/>
    <w:rsid w:val="00CA1EBD"/>
    <w:rsid w:val="00CC0457"/>
    <w:rsid w:val="00D073A6"/>
    <w:rsid w:val="00D878EA"/>
    <w:rsid w:val="00E4650A"/>
    <w:rsid w:val="00E5106C"/>
    <w:rsid w:val="00E54CB3"/>
    <w:rsid w:val="00EA6551"/>
    <w:rsid w:val="00F939A5"/>
    <w:rsid w:val="00FF6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DA9FE"/>
  <w15:docId w15:val="{33E2AC8C-8377-4895-B11F-98B6F23B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inespaciado">
    <w:name w:val="No Spacing"/>
    <w:uiPriority w:val="1"/>
    <w:qFormat/>
    <w:rsid w:val="00457055"/>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qrt7hUEezrpEHNJzO7PJrqmcA==">CgMxLjAyCGguZ2pkZ3hzMgloLjFmb2I5dGU4AHIhMW9WYklDWV9haGFSOVNzd2NvbHFyOThIYUJiQ2RGdDBq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5988</Words>
  <Characters>32936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CEDAI - INAIP Yucatan 2023</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Dirección de Asuntos Jurídicos  y Plenarios</cp:lastModifiedBy>
  <cp:revision>3</cp:revision>
  <cp:lastPrinted>2024-12-19T19:43:00Z</cp:lastPrinted>
  <dcterms:created xsi:type="dcterms:W3CDTF">2024-12-19T19:28:00Z</dcterms:created>
  <dcterms:modified xsi:type="dcterms:W3CDTF">2024-12-19T19:45:00Z</dcterms:modified>
</cp:coreProperties>
</file>