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2AC4" w14:textId="77777777" w:rsidR="000D240A" w:rsidRPr="000D240A" w:rsidRDefault="000D240A" w:rsidP="000D240A">
      <w:pPr>
        <w:jc w:val="both"/>
        <w:rPr>
          <w:rFonts w:ascii="Arial" w:hAnsi="Arial" w:cs="Arial"/>
          <w:b/>
          <w:sz w:val="20"/>
          <w:szCs w:val="20"/>
        </w:rPr>
      </w:pPr>
      <w:r w:rsidRPr="000D240A">
        <w:rPr>
          <w:rFonts w:ascii="Arial" w:hAnsi="Arial" w:cs="Arial"/>
          <w:b/>
          <w:sz w:val="20"/>
          <w:szCs w:val="20"/>
        </w:rPr>
        <w:t>ACUERDO A TRAVÉS DEL CUAL SE COMISIONA A UN SERVIDOR PÚBLICO PARA EJECUTAR FUNCIONES EN ÁREAS DIFERENTES AL DE SU ADSCRIPCIÓN DENTRO DEL INSTITUTO ESTATAL DE TRANSPARENCIA, ACCESO A LA INFORMACIÓN PÚBLICA Y PROTECCIÓN DE DATOS PERSONALES</w:t>
      </w:r>
    </w:p>
    <w:p w14:paraId="2F798F93" w14:textId="77777777" w:rsidR="000D240A" w:rsidRPr="000D240A" w:rsidRDefault="000D240A" w:rsidP="000D240A">
      <w:pPr>
        <w:jc w:val="center"/>
        <w:rPr>
          <w:rFonts w:ascii="Arial" w:hAnsi="Arial" w:cs="Arial"/>
          <w:b/>
          <w:sz w:val="20"/>
          <w:szCs w:val="20"/>
        </w:rPr>
      </w:pPr>
    </w:p>
    <w:p w14:paraId="6585C33B" w14:textId="77777777" w:rsidR="000D240A" w:rsidRPr="000D240A" w:rsidRDefault="000D240A" w:rsidP="000D240A">
      <w:pPr>
        <w:jc w:val="both"/>
        <w:rPr>
          <w:rFonts w:ascii="Arial" w:hAnsi="Arial" w:cs="Arial"/>
          <w:sz w:val="20"/>
          <w:szCs w:val="20"/>
        </w:rPr>
      </w:pPr>
      <w:r w:rsidRPr="000D240A">
        <w:rPr>
          <w:rFonts w:ascii="Arial" w:hAnsi="Arial" w:cs="Arial"/>
          <w:color w:val="000000"/>
          <w:sz w:val="20"/>
          <w:szCs w:val="20"/>
        </w:rPr>
        <w:t xml:space="preserve">En la ciudad de Mérida, Yucatán, a los 11 días del mes de noviembre del año 2021, </w:t>
      </w:r>
      <w:r w:rsidRPr="000D240A">
        <w:rPr>
          <w:rFonts w:ascii="Arial" w:hAnsi="Arial" w:cs="Arial"/>
          <w:sz w:val="20"/>
          <w:szCs w:val="20"/>
        </w:rPr>
        <w:t xml:space="preserve">encontrándose reunidos en Sesión Ordinaria los integrantes del Pleno del Instituto Estatal de Transparencia, Acceso a la Información Pública y Protección de Datos Personales, la Maestra en Derecho María Gilda Segovia Chab, el Doctor en Derecho Carlos Fernando Pavón Durán y Doctor en Derecho Aldrin Martín Briceño Conrado, Comisionada Presidenta y Comisionados, respectivamente; habiendo emitido su voto </w:t>
      </w:r>
      <w:r w:rsidRPr="000D240A">
        <w:rPr>
          <w:rFonts w:ascii="Arial" w:hAnsi="Arial" w:cs="Arial"/>
          <w:color w:val="000000"/>
          <w:sz w:val="20"/>
          <w:szCs w:val="20"/>
        </w:rPr>
        <w:t xml:space="preserve">respecto al asunto en cartera número cuatro del orden del día de dicha sesión, los dos </w:t>
      </w:r>
      <w:r w:rsidRPr="000D240A">
        <w:rPr>
          <w:rFonts w:ascii="Arial" w:hAnsi="Arial" w:cs="Arial"/>
          <w:sz w:val="20"/>
          <w:szCs w:val="20"/>
        </w:rPr>
        <w:t xml:space="preserve">primeros nombrados votaron a favor y el último votó en contra de dicho asunto. Ante lo cual, se emite el presente acuerdo de conformidad con los siguientes: </w:t>
      </w:r>
    </w:p>
    <w:p w14:paraId="216C1260" w14:textId="77777777" w:rsidR="000D240A" w:rsidRPr="000D240A" w:rsidRDefault="000D240A" w:rsidP="000D240A">
      <w:pPr>
        <w:jc w:val="center"/>
        <w:rPr>
          <w:rFonts w:ascii="Arial" w:eastAsia="Calibri" w:hAnsi="Arial" w:cs="Arial"/>
          <w:b/>
          <w:sz w:val="20"/>
          <w:szCs w:val="20"/>
        </w:rPr>
      </w:pPr>
      <w:r w:rsidRPr="000D240A">
        <w:rPr>
          <w:rFonts w:ascii="Arial" w:hAnsi="Arial" w:cs="Arial"/>
          <w:b/>
          <w:sz w:val="20"/>
          <w:szCs w:val="20"/>
        </w:rPr>
        <w:t>CONSIDERANDOS</w:t>
      </w:r>
    </w:p>
    <w:p w14:paraId="711C8E8D" w14:textId="77777777" w:rsidR="000D240A" w:rsidRPr="000D240A" w:rsidRDefault="000D240A" w:rsidP="000D240A">
      <w:pPr>
        <w:jc w:val="both"/>
        <w:rPr>
          <w:rFonts w:ascii="Arial" w:hAnsi="Arial" w:cs="Arial"/>
          <w:sz w:val="20"/>
          <w:szCs w:val="20"/>
        </w:rPr>
      </w:pPr>
      <w:r w:rsidRPr="000D240A">
        <w:rPr>
          <w:rFonts w:ascii="Arial" w:hAnsi="Arial" w:cs="Arial"/>
          <w:b/>
          <w:sz w:val="20"/>
          <w:szCs w:val="20"/>
        </w:rPr>
        <w:t>PRIMERO.-</w:t>
      </w:r>
      <w:r w:rsidRPr="000D240A">
        <w:rPr>
          <w:rFonts w:ascii="Arial" w:hAnsi="Arial"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5B26BF50" w14:textId="77777777" w:rsidR="000D240A" w:rsidRPr="000D240A" w:rsidRDefault="000D240A" w:rsidP="000D240A">
      <w:pPr>
        <w:jc w:val="both"/>
        <w:rPr>
          <w:rFonts w:ascii="Arial" w:hAnsi="Arial" w:cs="Arial"/>
          <w:bCs/>
          <w:sz w:val="20"/>
          <w:szCs w:val="20"/>
        </w:rPr>
      </w:pPr>
      <w:r w:rsidRPr="000D240A">
        <w:rPr>
          <w:rFonts w:ascii="Arial" w:hAnsi="Arial" w:cs="Arial"/>
          <w:b/>
          <w:sz w:val="20"/>
          <w:szCs w:val="20"/>
        </w:rPr>
        <w:t xml:space="preserve">SEGUNDO.- </w:t>
      </w:r>
      <w:r w:rsidRPr="000D240A">
        <w:rPr>
          <w:rFonts w:ascii="Arial" w:hAnsi="Arial" w:cs="Arial"/>
          <w:bCs/>
          <w:sz w:val="20"/>
          <w:szCs w:val="20"/>
        </w:rPr>
        <w:t>De conformidad con lo señalado en el artículo 15 fracción III de la Ley de Transparencia y Acceso a la Información Pública del Estado de Yucatán, el Pleno del Inaip Yucatán, tiene la atribución de aprobar la organización administrativa del Instituto; por lo que cuenta con facultades suficientes para comisionar al personal del Instituto, a desempeñar funciones diversas a las encomendadas en sus nombramientos, así como en áreas diferentes al de su adscripción, para el mejor cumplimiento de las funciones y atribuciones del órgano garante del acceso a la información pública y la protección de datos personales.</w:t>
      </w:r>
    </w:p>
    <w:p w14:paraId="51C11512" w14:textId="77777777" w:rsidR="000D240A" w:rsidRPr="000D240A" w:rsidRDefault="000D240A" w:rsidP="000D240A">
      <w:pPr>
        <w:tabs>
          <w:tab w:val="right" w:leader="hyphen" w:pos="9214"/>
        </w:tabs>
        <w:jc w:val="both"/>
        <w:rPr>
          <w:rFonts w:ascii="Arial" w:hAnsi="Arial" w:cs="Arial"/>
          <w:sz w:val="20"/>
          <w:szCs w:val="20"/>
        </w:rPr>
      </w:pPr>
      <w:r w:rsidRPr="000D240A">
        <w:rPr>
          <w:rFonts w:ascii="Arial" w:hAnsi="Arial" w:cs="Arial"/>
          <w:b/>
          <w:sz w:val="20"/>
          <w:szCs w:val="20"/>
        </w:rPr>
        <w:t xml:space="preserve">TERCERO. - </w:t>
      </w:r>
      <w:r w:rsidRPr="000D240A">
        <w:rPr>
          <w:rFonts w:ascii="Arial" w:hAnsi="Arial" w:cs="Arial"/>
          <w:bCs/>
          <w:sz w:val="20"/>
          <w:szCs w:val="20"/>
        </w:rPr>
        <w:t xml:space="preserve">El 18 de julio de 2017 se publicó en el Diario Oficial del Estado de Yucatán la Ley de Responsabilidades Administrativas del Estado de Yucatán, entre cuya exposición de motivos se estableció que se otorgó a </w:t>
      </w:r>
      <w:r w:rsidRPr="000D240A">
        <w:rPr>
          <w:rFonts w:ascii="Arial" w:hAnsi="Arial" w:cs="Arial"/>
          <w:sz w:val="20"/>
          <w:szCs w:val="20"/>
        </w:rPr>
        <w:t xml:space="preserve">los Órganos de Control Interno de los entes públicos, en su ámbito respectivo, facultades para llevar a cabo la investigación, substanciación, calificación e imponer las sanciones por faltas administrativas no graves, para lo cual se establece la obligación de las autoridades competentes para aplicar la Ley en el Estado, de considerar en sus reglamentos y demás disposiciones que regule su estructura y competencia en razón de grado, a las áreas que fungirán como autoridades investigadoras, las cuales tendrán atribuciones para investigar y </w:t>
      </w:r>
      <w:r w:rsidRPr="000D240A">
        <w:rPr>
          <w:rFonts w:ascii="Arial" w:hAnsi="Arial" w:cs="Arial"/>
          <w:sz w:val="20"/>
          <w:szCs w:val="20"/>
        </w:rPr>
        <w:lastRenderedPageBreak/>
        <w:t xml:space="preserve">calificar las faltas administrativas, las que fungirán como autoridades substanciadoras, así como las autoridades que resuelvan, mismas que contarán con competencia para resolver procedimientos disciplinarios por faltas no graves. </w:t>
      </w:r>
    </w:p>
    <w:p w14:paraId="77523145" w14:textId="77777777" w:rsidR="000D240A" w:rsidRPr="000D240A" w:rsidRDefault="000D240A" w:rsidP="000D240A">
      <w:pPr>
        <w:tabs>
          <w:tab w:val="right" w:leader="hyphen" w:pos="9214"/>
        </w:tabs>
        <w:jc w:val="both"/>
        <w:rPr>
          <w:rFonts w:ascii="Arial" w:hAnsi="Arial" w:cs="Arial"/>
          <w:sz w:val="20"/>
          <w:szCs w:val="20"/>
        </w:rPr>
      </w:pPr>
    </w:p>
    <w:p w14:paraId="27392D30" w14:textId="77777777" w:rsidR="000D240A" w:rsidRPr="000D240A" w:rsidRDefault="000D240A" w:rsidP="000D240A">
      <w:pPr>
        <w:tabs>
          <w:tab w:val="right" w:leader="hyphen" w:pos="9214"/>
        </w:tabs>
        <w:jc w:val="both"/>
        <w:rPr>
          <w:rFonts w:ascii="Arial" w:hAnsi="Arial" w:cs="Arial"/>
          <w:sz w:val="20"/>
          <w:szCs w:val="20"/>
        </w:rPr>
      </w:pPr>
      <w:r w:rsidRPr="000D240A">
        <w:rPr>
          <w:rFonts w:ascii="Arial" w:hAnsi="Arial" w:cs="Arial"/>
          <w:b/>
          <w:bCs/>
          <w:sz w:val="20"/>
          <w:szCs w:val="20"/>
        </w:rPr>
        <w:t>CUARTO.-</w:t>
      </w:r>
      <w:r w:rsidRPr="000D240A">
        <w:rPr>
          <w:rFonts w:ascii="Arial" w:hAnsi="Arial" w:cs="Arial"/>
          <w:sz w:val="20"/>
          <w:szCs w:val="20"/>
        </w:rPr>
        <w:t xml:space="preserve"> Derivado de lo señalado en el punto anterior, el 09 de junio de 2021, se publicó en el Diario Oficial del Estado de Yucatán, el Manual de Organización del Órgano de Control Interno del Instituto Estatal de Transparencia, Acceso a la Información Pública y Protección de Datos Personales, en el que se regula la estructura orgánica del Órgano de Control Interno, así como se dota de facultades del Auxiliar Investigador y de la Autoridad Resolutora y Substanciadora de los procedimientos de responsabilidad administrativa, quienes entre otras facultades tendrán en lo aplicable a su cargo, las atribuciones previstas en el artículo 66, fracciones I y III del Reglamento Interior del aludido Instituto, publicado en el Diario Oficial del Estado de Yucatán el 09 de octubre de 2017.</w:t>
      </w:r>
    </w:p>
    <w:p w14:paraId="57874D7F" w14:textId="77777777" w:rsidR="000D240A" w:rsidRPr="000D240A" w:rsidRDefault="000D240A" w:rsidP="000D240A">
      <w:pPr>
        <w:tabs>
          <w:tab w:val="right" w:leader="hyphen" w:pos="9214"/>
        </w:tabs>
        <w:jc w:val="both"/>
        <w:rPr>
          <w:rFonts w:ascii="Arial" w:hAnsi="Arial" w:cs="Arial"/>
          <w:sz w:val="20"/>
          <w:szCs w:val="20"/>
        </w:rPr>
      </w:pPr>
    </w:p>
    <w:p w14:paraId="7CB4F0C7" w14:textId="77777777" w:rsidR="000D240A" w:rsidRPr="000D240A" w:rsidRDefault="000D240A" w:rsidP="000D240A">
      <w:pPr>
        <w:tabs>
          <w:tab w:val="right" w:leader="hyphen" w:pos="9214"/>
        </w:tabs>
        <w:jc w:val="both"/>
        <w:rPr>
          <w:rFonts w:ascii="Arial" w:hAnsi="Arial" w:cs="Arial"/>
          <w:b/>
          <w:bCs/>
          <w:sz w:val="20"/>
          <w:szCs w:val="20"/>
        </w:rPr>
      </w:pPr>
      <w:r w:rsidRPr="000D240A">
        <w:rPr>
          <w:rFonts w:ascii="Arial" w:hAnsi="Arial" w:cs="Arial"/>
          <w:b/>
          <w:bCs/>
          <w:sz w:val="20"/>
          <w:szCs w:val="20"/>
        </w:rPr>
        <w:t xml:space="preserve">QUINTO.- </w:t>
      </w:r>
      <w:r w:rsidRPr="000D240A">
        <w:rPr>
          <w:rFonts w:ascii="Arial" w:hAnsi="Arial" w:cs="Arial"/>
          <w:sz w:val="20"/>
          <w:szCs w:val="20"/>
        </w:rPr>
        <w:t xml:space="preserve">Que actualmente el Órgano de Control Interno de este Instituto cuenta con dos servidores públicos que tienen los cargos de Titular del Órgano de Control Interno y Auxiliar Investigador. Asimismo, acorde con el artículo 217 de la Ley de Responsabilidades Administrativas del Estado de Yucatán, se prevé la existencia de los secretarios que auxiliarán a la autoridad sustanciadora en la celebración de las audiencias que con motivo de los procedimientos de responsabilidad administrativa por faltas no graves se lleven a cabo, sin embargo, el Órgano de Control Interno del Inaip Yucatán no cuenta con recurso humano suficiente para cubrir dicho cargo, razón por la cual se propuso sea el licenciado </w:t>
      </w:r>
      <w:bookmarkStart w:id="0" w:name="_Hlk86850729"/>
      <w:r w:rsidRPr="000D240A">
        <w:rPr>
          <w:rFonts w:ascii="Arial" w:hAnsi="Arial" w:cs="Arial"/>
          <w:sz w:val="20"/>
          <w:szCs w:val="20"/>
        </w:rPr>
        <w:t>Mario Rodrigo Escalante Galaz, Auxiliar de la Unidad de Transparencia del Instituto Estatal de Transparencia, Acceso a la Información Pública y Protección de Datos Personales</w:t>
      </w:r>
      <w:bookmarkEnd w:id="0"/>
      <w:r w:rsidRPr="000D240A">
        <w:rPr>
          <w:rFonts w:ascii="Arial" w:hAnsi="Arial" w:cs="Arial"/>
          <w:sz w:val="20"/>
          <w:szCs w:val="20"/>
        </w:rPr>
        <w:t xml:space="preserve"> que pueda fungir con tal calidad en dichos procedimientos y lleve a cabo las funciones inherentes al mismo.</w:t>
      </w:r>
    </w:p>
    <w:p w14:paraId="4485F4DC" w14:textId="77777777" w:rsidR="000D240A" w:rsidRPr="000D240A" w:rsidRDefault="000D240A" w:rsidP="000D240A">
      <w:pPr>
        <w:jc w:val="both"/>
        <w:rPr>
          <w:rFonts w:ascii="Arial" w:hAnsi="Arial" w:cs="Arial"/>
          <w:sz w:val="20"/>
          <w:szCs w:val="20"/>
        </w:rPr>
      </w:pPr>
    </w:p>
    <w:p w14:paraId="620F6B6B" w14:textId="77777777" w:rsidR="000D240A" w:rsidRPr="000D240A" w:rsidRDefault="000D240A" w:rsidP="000D240A">
      <w:pPr>
        <w:jc w:val="both"/>
        <w:rPr>
          <w:rFonts w:ascii="Arial" w:hAnsi="Arial" w:cs="Arial"/>
          <w:sz w:val="20"/>
          <w:szCs w:val="20"/>
        </w:rPr>
      </w:pPr>
      <w:r w:rsidRPr="000D240A">
        <w:rPr>
          <w:rFonts w:ascii="Arial" w:hAnsi="Arial" w:cs="Arial"/>
          <w:sz w:val="20"/>
          <w:szCs w:val="20"/>
        </w:rPr>
        <w:t xml:space="preserve">Con motivo de lo ya precisado y </w:t>
      </w:r>
      <w:r w:rsidRPr="000D240A">
        <w:rPr>
          <w:rFonts w:ascii="Arial" w:eastAsia="Arial" w:hAnsi="Arial" w:cs="Arial"/>
          <w:sz w:val="20"/>
          <w:szCs w:val="20"/>
        </w:rPr>
        <w:t>previo análisis integral que para tal efecto se realizó de las necesidades institucionales</w:t>
      </w:r>
      <w:r w:rsidRPr="000D240A">
        <w:rPr>
          <w:rFonts w:ascii="Arial" w:hAnsi="Arial" w:cs="Arial"/>
          <w:sz w:val="20"/>
          <w:szCs w:val="20"/>
        </w:rPr>
        <w:t>, se emite por mayoría de votos el siguiente:</w:t>
      </w:r>
    </w:p>
    <w:p w14:paraId="7770E511" w14:textId="77777777" w:rsidR="000D240A" w:rsidRPr="000D240A" w:rsidRDefault="000D240A" w:rsidP="000D240A">
      <w:pPr>
        <w:jc w:val="center"/>
        <w:rPr>
          <w:rFonts w:ascii="Arial" w:hAnsi="Arial" w:cs="Arial"/>
          <w:b/>
          <w:spacing w:val="20"/>
          <w:sz w:val="20"/>
          <w:szCs w:val="20"/>
        </w:rPr>
      </w:pPr>
      <w:r w:rsidRPr="000D240A">
        <w:rPr>
          <w:rFonts w:ascii="Arial" w:hAnsi="Arial" w:cs="Arial"/>
          <w:b/>
          <w:spacing w:val="20"/>
          <w:sz w:val="20"/>
          <w:szCs w:val="20"/>
        </w:rPr>
        <w:t>ACUERDO</w:t>
      </w:r>
    </w:p>
    <w:p w14:paraId="4110A46D" w14:textId="77777777" w:rsidR="000D240A" w:rsidRPr="000D240A" w:rsidRDefault="000D240A" w:rsidP="000D240A">
      <w:pPr>
        <w:jc w:val="both"/>
        <w:rPr>
          <w:rFonts w:ascii="Arial" w:hAnsi="Arial" w:cs="Arial"/>
          <w:sz w:val="20"/>
          <w:szCs w:val="20"/>
        </w:rPr>
      </w:pPr>
    </w:p>
    <w:p w14:paraId="3680CF20" w14:textId="77777777" w:rsidR="000D240A" w:rsidRPr="000D240A" w:rsidRDefault="000D240A" w:rsidP="000D240A">
      <w:pPr>
        <w:jc w:val="both"/>
        <w:rPr>
          <w:rFonts w:ascii="Arial" w:hAnsi="Arial" w:cs="Arial"/>
          <w:sz w:val="20"/>
          <w:szCs w:val="20"/>
        </w:rPr>
      </w:pPr>
      <w:r w:rsidRPr="000D240A">
        <w:rPr>
          <w:rFonts w:ascii="Arial" w:hAnsi="Arial" w:cs="Arial"/>
          <w:b/>
          <w:sz w:val="20"/>
          <w:szCs w:val="20"/>
        </w:rPr>
        <w:t>PRIMERO.-</w:t>
      </w:r>
      <w:r w:rsidRPr="000D240A">
        <w:rPr>
          <w:rFonts w:ascii="Arial" w:hAnsi="Arial" w:cs="Arial"/>
          <w:sz w:val="20"/>
          <w:szCs w:val="20"/>
        </w:rPr>
        <w:t xml:space="preserve"> Se comisiona al licenciado Mario Rodrigo Escalante Galaz, Auxiliar de la Unidad de Transparencia del Instituto Estatal de Transparencia, Acceso a la Información Pública y Protección de Datos Personales para que realice funciones de Secretario en </w:t>
      </w:r>
      <w:r w:rsidRPr="000D240A">
        <w:rPr>
          <w:rFonts w:ascii="Arial" w:hAnsi="Arial" w:cs="Arial"/>
          <w:bCs/>
          <w:sz w:val="20"/>
          <w:szCs w:val="20"/>
        </w:rPr>
        <w:t>los procedimientos de responsabilidad administrativa durante la sustanciación de dichos procedimientos y en la resolución tratándose de faltas no graves que tramite el Órgano de Control Interno</w:t>
      </w:r>
      <w:r w:rsidRPr="000D240A">
        <w:rPr>
          <w:rFonts w:ascii="Arial" w:hAnsi="Arial" w:cs="Arial"/>
          <w:sz w:val="20"/>
          <w:szCs w:val="20"/>
        </w:rPr>
        <w:t>.</w:t>
      </w:r>
    </w:p>
    <w:p w14:paraId="0696DD30" w14:textId="77777777" w:rsidR="000D240A" w:rsidRPr="000D240A" w:rsidRDefault="000D240A" w:rsidP="000D240A">
      <w:pPr>
        <w:jc w:val="both"/>
        <w:rPr>
          <w:rFonts w:ascii="Arial" w:hAnsi="Arial" w:cs="Arial"/>
          <w:sz w:val="20"/>
          <w:szCs w:val="20"/>
        </w:rPr>
      </w:pPr>
      <w:r w:rsidRPr="000D240A">
        <w:rPr>
          <w:rFonts w:ascii="Arial" w:hAnsi="Arial" w:cs="Arial"/>
          <w:sz w:val="20"/>
          <w:szCs w:val="20"/>
        </w:rPr>
        <w:t xml:space="preserve"> </w:t>
      </w:r>
    </w:p>
    <w:p w14:paraId="64B036C1" w14:textId="77777777" w:rsidR="000D240A" w:rsidRPr="000D240A" w:rsidRDefault="000D240A" w:rsidP="000D240A">
      <w:pPr>
        <w:jc w:val="both"/>
        <w:rPr>
          <w:rFonts w:ascii="Arial" w:hAnsi="Arial" w:cs="Arial"/>
          <w:sz w:val="20"/>
          <w:szCs w:val="20"/>
        </w:rPr>
      </w:pPr>
      <w:r w:rsidRPr="000D240A">
        <w:rPr>
          <w:rFonts w:ascii="Arial" w:hAnsi="Arial" w:cs="Arial"/>
          <w:b/>
          <w:sz w:val="20"/>
          <w:szCs w:val="20"/>
        </w:rPr>
        <w:t>SEGUNDO.</w:t>
      </w:r>
      <w:r w:rsidRPr="000D240A">
        <w:rPr>
          <w:rFonts w:ascii="Arial" w:hAnsi="Arial" w:cs="Arial"/>
          <w:sz w:val="20"/>
          <w:szCs w:val="20"/>
        </w:rPr>
        <w:t xml:space="preserve">- Se instruye a la Coordinación de Apoyo Plenario para que notifique al Titular de la Unidad de Transparencia, Contador Público Álvaro de Jesús Carcaño Loeza, al Titular del Órgano </w:t>
      </w:r>
      <w:r w:rsidRPr="000D240A">
        <w:rPr>
          <w:rFonts w:ascii="Arial" w:hAnsi="Arial" w:cs="Arial"/>
          <w:sz w:val="20"/>
          <w:szCs w:val="20"/>
        </w:rPr>
        <w:lastRenderedPageBreak/>
        <w:t>de Control Interno, Maestro en Finanzas Luis Javier Magaña Moguel y al Auxiliar de la Unidad de Transparencia, Licenciado Mario Rodrigo Escalante Galaz, todos del Instituto Estatal de Transparencia, Acceso a la Información Pública y Protección de Datos Personales (Inaip Yucatán) de lo aprobado en el presente acuerdo.</w:t>
      </w:r>
    </w:p>
    <w:p w14:paraId="57316C6B" w14:textId="77777777" w:rsidR="000D240A" w:rsidRPr="000D240A" w:rsidRDefault="000D240A" w:rsidP="000D240A">
      <w:pPr>
        <w:jc w:val="both"/>
        <w:rPr>
          <w:rFonts w:ascii="Arial" w:hAnsi="Arial" w:cs="Arial"/>
          <w:sz w:val="20"/>
          <w:szCs w:val="20"/>
        </w:rPr>
      </w:pPr>
    </w:p>
    <w:p w14:paraId="1E192AB3" w14:textId="77777777" w:rsidR="000D240A" w:rsidRPr="000D240A" w:rsidRDefault="000D240A" w:rsidP="000D240A">
      <w:pPr>
        <w:jc w:val="both"/>
        <w:rPr>
          <w:rFonts w:ascii="Arial" w:hAnsi="Arial" w:cs="Arial"/>
          <w:sz w:val="20"/>
          <w:szCs w:val="20"/>
        </w:rPr>
      </w:pPr>
      <w:r w:rsidRPr="000D240A">
        <w:rPr>
          <w:rFonts w:ascii="Arial" w:hAnsi="Arial" w:cs="Arial"/>
          <w:b/>
          <w:bCs/>
          <w:sz w:val="20"/>
          <w:szCs w:val="20"/>
        </w:rPr>
        <w:t xml:space="preserve">TERCERO. - </w:t>
      </w:r>
      <w:r w:rsidRPr="000D240A">
        <w:rPr>
          <w:rFonts w:ascii="Arial" w:hAnsi="Arial" w:cs="Arial"/>
          <w:sz w:val="20"/>
          <w:szCs w:val="20"/>
        </w:rPr>
        <w:t>El presente acuerdo entrará en vigor el día de su aprobación, hasta en tanto no se emita otro acuerdo, que disponga lo contrario.</w:t>
      </w:r>
    </w:p>
    <w:p w14:paraId="4687E919" w14:textId="77777777" w:rsidR="000D240A" w:rsidRPr="000D240A" w:rsidRDefault="000D240A" w:rsidP="000D240A">
      <w:pPr>
        <w:jc w:val="both"/>
        <w:rPr>
          <w:rFonts w:ascii="Arial" w:hAnsi="Arial" w:cs="Arial"/>
          <w:sz w:val="20"/>
          <w:szCs w:val="20"/>
        </w:rPr>
      </w:pPr>
    </w:p>
    <w:p w14:paraId="67063647" w14:textId="77777777" w:rsidR="000D240A" w:rsidRPr="000D240A" w:rsidRDefault="000D240A" w:rsidP="000D240A">
      <w:pPr>
        <w:jc w:val="both"/>
        <w:rPr>
          <w:rFonts w:ascii="Arial" w:hAnsi="Arial" w:cs="Arial"/>
          <w:bCs/>
          <w:sz w:val="20"/>
          <w:szCs w:val="20"/>
        </w:rPr>
      </w:pPr>
      <w:r w:rsidRPr="000D240A">
        <w:rPr>
          <w:rFonts w:ascii="Arial" w:hAnsi="Arial" w:cs="Arial"/>
          <w:b/>
          <w:bCs/>
          <w:sz w:val="20"/>
          <w:szCs w:val="20"/>
        </w:rPr>
        <w:t xml:space="preserve">CUARTO. - </w:t>
      </w:r>
      <w:r w:rsidRPr="000D240A">
        <w:rPr>
          <w:rFonts w:ascii="Arial" w:hAnsi="Arial" w:cs="Arial"/>
          <w:bCs/>
          <w:sz w:val="20"/>
          <w:szCs w:val="20"/>
        </w:rPr>
        <w:t>Se instruye a la Coordinación de Apoyo Plenario para que realice las gestiones pertinentes para la publicación del presente acuerdo en la Página de Internet del Inaip Yucatán.</w:t>
      </w:r>
    </w:p>
    <w:p w14:paraId="34783653" w14:textId="77777777" w:rsidR="000D240A" w:rsidRPr="000D240A" w:rsidRDefault="000D240A" w:rsidP="000D240A">
      <w:pPr>
        <w:rPr>
          <w:rFonts w:ascii="Arial" w:hAnsi="Arial" w:cs="Arial"/>
          <w:sz w:val="20"/>
          <w:szCs w:val="20"/>
        </w:rPr>
      </w:pPr>
    </w:p>
    <w:p w14:paraId="02C8DC9B" w14:textId="77777777" w:rsidR="000D240A" w:rsidRPr="000D240A" w:rsidRDefault="000D240A" w:rsidP="000D240A">
      <w:pPr>
        <w:jc w:val="both"/>
        <w:rPr>
          <w:rFonts w:ascii="Arial" w:hAnsi="Arial" w:cs="Arial"/>
          <w:sz w:val="20"/>
          <w:szCs w:val="20"/>
        </w:rPr>
      </w:pPr>
      <w:r w:rsidRPr="000D240A">
        <w:rPr>
          <w:rFonts w:ascii="Arial" w:hAnsi="Arial" w:cs="Arial"/>
          <w:sz w:val="20"/>
          <w:szCs w:val="20"/>
        </w:rPr>
        <w:t>Así lo acordó y firma el Pleno del Instituto.</w:t>
      </w:r>
    </w:p>
    <w:p w14:paraId="6EC3E09A" w14:textId="77777777" w:rsidR="000D240A" w:rsidRPr="000D240A" w:rsidRDefault="000D240A" w:rsidP="000D240A">
      <w:pPr>
        <w:jc w:val="both"/>
        <w:rPr>
          <w:rFonts w:ascii="Arial" w:hAnsi="Arial" w:cs="Arial"/>
          <w:sz w:val="20"/>
          <w:szCs w:val="20"/>
        </w:rPr>
      </w:pPr>
    </w:p>
    <w:p w14:paraId="6B8C59EC" w14:textId="77777777" w:rsidR="000D240A" w:rsidRPr="000D240A" w:rsidRDefault="000D240A" w:rsidP="000D240A">
      <w:pPr>
        <w:pStyle w:val="Sinespaciado"/>
        <w:jc w:val="center"/>
        <w:rPr>
          <w:rFonts w:ascii="Arial" w:hAnsi="Arial" w:cs="Arial"/>
          <w:b/>
          <w:sz w:val="20"/>
          <w:szCs w:val="20"/>
        </w:rPr>
      </w:pPr>
    </w:p>
    <w:p w14:paraId="0262ABBF" w14:textId="77777777" w:rsidR="000D240A" w:rsidRPr="000D240A" w:rsidRDefault="000D240A" w:rsidP="000D240A">
      <w:pPr>
        <w:pStyle w:val="Sinespaciado"/>
        <w:jc w:val="center"/>
        <w:rPr>
          <w:rFonts w:ascii="Arial" w:hAnsi="Arial" w:cs="Arial"/>
          <w:b/>
          <w:sz w:val="20"/>
          <w:szCs w:val="20"/>
        </w:rPr>
      </w:pPr>
      <w:r w:rsidRPr="000D240A">
        <w:rPr>
          <w:rFonts w:ascii="Arial" w:hAnsi="Arial" w:cs="Arial"/>
          <w:b/>
          <w:sz w:val="20"/>
          <w:szCs w:val="20"/>
        </w:rPr>
        <w:t>(Rúbrica)</w:t>
      </w:r>
    </w:p>
    <w:p w14:paraId="1E637F5A" w14:textId="77777777" w:rsidR="000D240A" w:rsidRPr="000D240A" w:rsidRDefault="000D240A" w:rsidP="000D240A">
      <w:pPr>
        <w:pStyle w:val="Sinespaciado"/>
        <w:jc w:val="center"/>
        <w:rPr>
          <w:rFonts w:ascii="Arial" w:hAnsi="Arial" w:cs="Arial"/>
          <w:b/>
          <w:sz w:val="20"/>
          <w:szCs w:val="20"/>
        </w:rPr>
      </w:pPr>
      <w:r w:rsidRPr="000D240A">
        <w:rPr>
          <w:rFonts w:ascii="Arial" w:hAnsi="Arial" w:cs="Arial"/>
          <w:b/>
          <w:sz w:val="20"/>
          <w:szCs w:val="20"/>
        </w:rPr>
        <w:t>M.D. MARÍA GILDA SEGOVIA CHAB</w:t>
      </w:r>
    </w:p>
    <w:p w14:paraId="6A1965AE" w14:textId="77777777" w:rsidR="000D240A" w:rsidRPr="000D240A" w:rsidRDefault="000D240A" w:rsidP="000D240A">
      <w:pPr>
        <w:pStyle w:val="Sinespaciado"/>
        <w:jc w:val="center"/>
        <w:rPr>
          <w:rFonts w:ascii="Arial" w:hAnsi="Arial" w:cs="Arial"/>
          <w:b/>
          <w:sz w:val="20"/>
          <w:szCs w:val="20"/>
        </w:rPr>
      </w:pPr>
      <w:r w:rsidRPr="000D240A">
        <w:rPr>
          <w:rFonts w:ascii="Arial" w:hAnsi="Arial" w:cs="Arial"/>
          <w:b/>
          <w:sz w:val="20"/>
          <w:szCs w:val="20"/>
        </w:rPr>
        <w:t>COMISIONADA PRESIDENTA</w:t>
      </w:r>
    </w:p>
    <w:p w14:paraId="6B5EA7B7" w14:textId="77777777" w:rsidR="000D240A" w:rsidRPr="000D240A" w:rsidRDefault="000D240A" w:rsidP="000D240A">
      <w:pPr>
        <w:jc w:val="center"/>
        <w:rPr>
          <w:rFonts w:ascii="Arial" w:hAnsi="Arial" w:cs="Arial"/>
          <w:b/>
          <w:sz w:val="20"/>
          <w:szCs w:val="20"/>
        </w:rPr>
      </w:pPr>
    </w:p>
    <w:p w14:paraId="2954F9B7" w14:textId="77777777" w:rsidR="000D240A" w:rsidRPr="000D240A" w:rsidRDefault="000D240A" w:rsidP="000D240A">
      <w:pPr>
        <w:jc w:val="center"/>
        <w:rPr>
          <w:rFonts w:ascii="Arial" w:hAnsi="Arial" w:cs="Arial"/>
          <w:b/>
          <w:sz w:val="20"/>
          <w:szCs w:val="20"/>
        </w:rPr>
      </w:pPr>
    </w:p>
    <w:tbl>
      <w:tblPr>
        <w:tblW w:w="10118" w:type="dxa"/>
        <w:tblInd w:w="-593" w:type="dxa"/>
        <w:tblLook w:val="04A0" w:firstRow="1" w:lastRow="0" w:firstColumn="1" w:lastColumn="0" w:noHBand="0" w:noVBand="1"/>
      </w:tblPr>
      <w:tblGrid>
        <w:gridCol w:w="5059"/>
        <w:gridCol w:w="5059"/>
      </w:tblGrid>
      <w:tr w:rsidR="000D240A" w:rsidRPr="000D240A" w14:paraId="292EB001" w14:textId="77777777" w:rsidTr="00545A2E">
        <w:trPr>
          <w:trHeight w:val="1378"/>
        </w:trPr>
        <w:tc>
          <w:tcPr>
            <w:tcW w:w="5059" w:type="dxa"/>
          </w:tcPr>
          <w:p w14:paraId="3BFC9A0D" w14:textId="77777777" w:rsidR="000D240A" w:rsidRPr="000D240A" w:rsidRDefault="000D240A" w:rsidP="00545A2E">
            <w:pPr>
              <w:pStyle w:val="Sinespaciado"/>
              <w:jc w:val="center"/>
              <w:rPr>
                <w:rFonts w:ascii="Arial" w:hAnsi="Arial" w:cs="Arial"/>
                <w:b/>
                <w:sz w:val="20"/>
                <w:szCs w:val="20"/>
                <w:lang w:val="en-US"/>
              </w:rPr>
            </w:pPr>
          </w:p>
          <w:p w14:paraId="64AEC3E1" w14:textId="77777777" w:rsidR="000D240A" w:rsidRPr="000D240A" w:rsidRDefault="000D240A" w:rsidP="00545A2E">
            <w:pPr>
              <w:pStyle w:val="Sinespaciado"/>
              <w:jc w:val="center"/>
              <w:rPr>
                <w:rFonts w:ascii="Arial" w:hAnsi="Arial" w:cs="Arial"/>
                <w:b/>
                <w:sz w:val="20"/>
                <w:szCs w:val="20"/>
              </w:rPr>
            </w:pPr>
            <w:r w:rsidRPr="000D240A">
              <w:rPr>
                <w:rFonts w:ascii="Arial" w:hAnsi="Arial" w:cs="Arial"/>
                <w:b/>
                <w:sz w:val="20"/>
                <w:szCs w:val="20"/>
              </w:rPr>
              <w:t>(Rúbrica)</w:t>
            </w:r>
          </w:p>
          <w:p w14:paraId="1F9D82CE" w14:textId="77777777" w:rsidR="000D240A" w:rsidRPr="000D240A" w:rsidRDefault="000D240A" w:rsidP="00545A2E">
            <w:pPr>
              <w:pStyle w:val="Sinespaciado"/>
              <w:jc w:val="center"/>
              <w:rPr>
                <w:rFonts w:ascii="Arial" w:hAnsi="Arial" w:cs="Arial"/>
                <w:b/>
                <w:sz w:val="20"/>
                <w:szCs w:val="20"/>
                <w:lang w:val="en-US"/>
              </w:rPr>
            </w:pPr>
            <w:r w:rsidRPr="000D240A">
              <w:rPr>
                <w:rFonts w:ascii="Arial" w:hAnsi="Arial" w:cs="Arial"/>
                <w:b/>
                <w:sz w:val="20"/>
                <w:szCs w:val="20"/>
                <w:lang w:val="en-US"/>
              </w:rPr>
              <w:t xml:space="preserve">DR. </w:t>
            </w:r>
            <w:r w:rsidRPr="000D240A">
              <w:rPr>
                <w:rFonts w:ascii="Arial" w:hAnsi="Arial" w:cs="Arial"/>
                <w:b/>
                <w:bCs/>
                <w:sz w:val="20"/>
                <w:szCs w:val="20"/>
              </w:rPr>
              <w:t>ALDRIN MARTÍN BRICEÑO CONRADO</w:t>
            </w:r>
          </w:p>
          <w:p w14:paraId="78AFDA2C" w14:textId="77777777" w:rsidR="000D240A" w:rsidRPr="000D240A" w:rsidRDefault="000D240A" w:rsidP="00545A2E">
            <w:pPr>
              <w:pStyle w:val="Sinespaciado"/>
              <w:jc w:val="center"/>
              <w:rPr>
                <w:rFonts w:ascii="Arial" w:hAnsi="Arial" w:cs="Arial"/>
                <w:b/>
                <w:sz w:val="20"/>
                <w:szCs w:val="20"/>
                <w:lang w:val="en-US"/>
              </w:rPr>
            </w:pPr>
            <w:r w:rsidRPr="000D240A">
              <w:rPr>
                <w:rFonts w:ascii="Arial" w:hAnsi="Arial" w:cs="Arial"/>
                <w:b/>
                <w:sz w:val="20"/>
                <w:szCs w:val="20"/>
                <w:lang w:val="en-US"/>
              </w:rPr>
              <w:t>COMISIONADO</w:t>
            </w:r>
          </w:p>
          <w:p w14:paraId="0D51B2D0" w14:textId="77777777" w:rsidR="000D240A" w:rsidRPr="000D240A" w:rsidRDefault="000D240A" w:rsidP="00545A2E">
            <w:pPr>
              <w:pStyle w:val="Sinespaciado"/>
              <w:jc w:val="center"/>
              <w:rPr>
                <w:rFonts w:ascii="Arial" w:hAnsi="Arial" w:cs="Arial"/>
                <w:b/>
                <w:sz w:val="20"/>
                <w:szCs w:val="20"/>
                <w:lang w:val="en-US"/>
              </w:rPr>
            </w:pPr>
            <w:r w:rsidRPr="000D240A">
              <w:rPr>
                <w:rFonts w:ascii="Arial" w:hAnsi="Arial" w:cs="Arial"/>
                <w:b/>
                <w:sz w:val="20"/>
                <w:szCs w:val="20"/>
                <w:lang w:val="en-US"/>
              </w:rPr>
              <w:t>(Voto en contra)</w:t>
            </w:r>
          </w:p>
        </w:tc>
        <w:tc>
          <w:tcPr>
            <w:tcW w:w="5059" w:type="dxa"/>
          </w:tcPr>
          <w:p w14:paraId="12458D89" w14:textId="77777777" w:rsidR="000D240A" w:rsidRPr="000D240A" w:rsidRDefault="000D240A" w:rsidP="00545A2E">
            <w:pPr>
              <w:pStyle w:val="Sinespaciado"/>
              <w:jc w:val="center"/>
              <w:rPr>
                <w:rFonts w:ascii="Arial" w:hAnsi="Arial" w:cs="Arial"/>
                <w:b/>
                <w:sz w:val="20"/>
                <w:szCs w:val="20"/>
                <w:lang w:val="en-US"/>
              </w:rPr>
            </w:pPr>
          </w:p>
          <w:p w14:paraId="11538E8C" w14:textId="77777777" w:rsidR="000D240A" w:rsidRPr="000D240A" w:rsidRDefault="000D240A" w:rsidP="00545A2E">
            <w:pPr>
              <w:pStyle w:val="Sinespaciado"/>
              <w:jc w:val="center"/>
              <w:rPr>
                <w:rFonts w:ascii="Arial" w:hAnsi="Arial" w:cs="Arial"/>
                <w:b/>
                <w:sz w:val="20"/>
                <w:szCs w:val="20"/>
              </w:rPr>
            </w:pPr>
            <w:r w:rsidRPr="000D240A">
              <w:rPr>
                <w:rFonts w:ascii="Arial" w:hAnsi="Arial" w:cs="Arial"/>
                <w:b/>
                <w:sz w:val="20"/>
                <w:szCs w:val="20"/>
              </w:rPr>
              <w:t>(Rúbrica)</w:t>
            </w:r>
          </w:p>
          <w:p w14:paraId="4D90592A" w14:textId="77777777" w:rsidR="000D240A" w:rsidRPr="000D240A" w:rsidRDefault="000D240A" w:rsidP="00545A2E">
            <w:pPr>
              <w:pStyle w:val="Sinespaciado"/>
              <w:jc w:val="center"/>
              <w:rPr>
                <w:rFonts w:ascii="Arial" w:hAnsi="Arial" w:cs="Arial"/>
                <w:b/>
                <w:sz w:val="20"/>
                <w:szCs w:val="20"/>
                <w:lang w:val="en-US"/>
              </w:rPr>
            </w:pPr>
            <w:r w:rsidRPr="000D240A">
              <w:rPr>
                <w:rFonts w:ascii="Arial" w:hAnsi="Arial" w:cs="Arial"/>
                <w:b/>
                <w:sz w:val="20"/>
                <w:szCs w:val="20"/>
                <w:lang w:val="en-US"/>
              </w:rPr>
              <w:t>DR. CARLOS FERNANDO PAVÓN DURÁN</w:t>
            </w:r>
          </w:p>
          <w:p w14:paraId="35B984F6" w14:textId="77777777" w:rsidR="000D240A" w:rsidRPr="000D240A" w:rsidRDefault="000D240A" w:rsidP="00545A2E">
            <w:pPr>
              <w:pStyle w:val="Sinespaciado"/>
              <w:jc w:val="center"/>
              <w:rPr>
                <w:rFonts w:ascii="Arial" w:hAnsi="Arial" w:cs="Arial"/>
                <w:b/>
                <w:sz w:val="20"/>
                <w:szCs w:val="20"/>
                <w:lang w:val="en-US"/>
              </w:rPr>
            </w:pPr>
            <w:r w:rsidRPr="000D240A">
              <w:rPr>
                <w:rFonts w:ascii="Arial" w:hAnsi="Arial" w:cs="Arial"/>
                <w:b/>
                <w:sz w:val="20"/>
                <w:szCs w:val="20"/>
                <w:lang w:val="en-US"/>
              </w:rPr>
              <w:t>COMISIONADO</w:t>
            </w:r>
          </w:p>
        </w:tc>
      </w:tr>
    </w:tbl>
    <w:p w14:paraId="7F22D9A5" w14:textId="77777777" w:rsidR="000D240A" w:rsidRPr="000D240A" w:rsidRDefault="000D240A" w:rsidP="000D240A">
      <w:pPr>
        <w:rPr>
          <w:rFonts w:ascii="Arial" w:hAnsi="Arial" w:cs="Arial"/>
          <w:b/>
          <w:sz w:val="20"/>
          <w:szCs w:val="20"/>
        </w:rPr>
      </w:pPr>
    </w:p>
    <w:p w14:paraId="7704937D" w14:textId="77777777" w:rsidR="000D240A" w:rsidRPr="000D240A" w:rsidRDefault="000D240A" w:rsidP="000D240A">
      <w:pPr>
        <w:rPr>
          <w:rFonts w:ascii="Calibri" w:hAnsi="Calibri"/>
          <w:b/>
          <w:sz w:val="20"/>
          <w:szCs w:val="20"/>
        </w:rPr>
      </w:pPr>
    </w:p>
    <w:p w14:paraId="059B08B1" w14:textId="77777777" w:rsidR="000D240A" w:rsidRPr="000D240A" w:rsidRDefault="000D240A" w:rsidP="000D240A">
      <w:pPr>
        <w:rPr>
          <w:rFonts w:ascii="Calibri" w:hAnsi="Calibri"/>
          <w:b/>
          <w:sz w:val="20"/>
          <w:szCs w:val="20"/>
        </w:rPr>
      </w:pPr>
      <w:r w:rsidRPr="000D240A">
        <w:rPr>
          <w:rFonts w:ascii="Calibri" w:hAnsi="Calibri"/>
          <w:b/>
          <w:sz w:val="20"/>
          <w:szCs w:val="20"/>
        </w:rPr>
        <w:tab/>
      </w:r>
      <w:r w:rsidRPr="000D240A">
        <w:rPr>
          <w:rFonts w:ascii="Calibri" w:hAnsi="Calibri"/>
          <w:b/>
          <w:sz w:val="20"/>
          <w:szCs w:val="20"/>
        </w:rPr>
        <w:tab/>
      </w:r>
    </w:p>
    <w:p w14:paraId="27A91F88" w14:textId="77777777" w:rsidR="000D240A" w:rsidRPr="000D240A" w:rsidRDefault="000D240A" w:rsidP="000D240A">
      <w:pPr>
        <w:rPr>
          <w:rFonts w:ascii="Calibri" w:hAnsi="Calibri"/>
          <w:b/>
          <w:sz w:val="20"/>
          <w:szCs w:val="20"/>
        </w:rPr>
      </w:pPr>
    </w:p>
    <w:p w14:paraId="21049790" w14:textId="77777777" w:rsidR="009F7B0C" w:rsidRPr="000D240A" w:rsidRDefault="009F7B0C" w:rsidP="000D240A">
      <w:pPr>
        <w:rPr>
          <w:sz w:val="20"/>
          <w:szCs w:val="20"/>
        </w:rPr>
      </w:pPr>
    </w:p>
    <w:sectPr w:rsidR="009F7B0C" w:rsidRPr="000D240A" w:rsidSect="00A55A5E">
      <w:headerReference w:type="default" r:id="rId7"/>
      <w:pgSz w:w="12240" w:h="15840"/>
      <w:pgMar w:top="2150"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AFB3" w14:textId="77777777" w:rsidR="00722954" w:rsidRDefault="00722954">
      <w:pPr>
        <w:spacing w:after="0" w:line="240" w:lineRule="auto"/>
      </w:pPr>
      <w:r>
        <w:separator/>
      </w:r>
    </w:p>
  </w:endnote>
  <w:endnote w:type="continuationSeparator" w:id="0">
    <w:p w14:paraId="57D04707" w14:textId="77777777" w:rsidR="00722954" w:rsidRDefault="0072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49407" w14:textId="77777777" w:rsidR="00722954" w:rsidRDefault="00722954">
      <w:pPr>
        <w:spacing w:after="0" w:line="240" w:lineRule="auto"/>
      </w:pPr>
      <w:r>
        <w:separator/>
      </w:r>
    </w:p>
  </w:footnote>
  <w:footnote w:type="continuationSeparator" w:id="0">
    <w:p w14:paraId="5E880D5C" w14:textId="77777777" w:rsidR="00722954" w:rsidRDefault="0072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1AF5" w14:textId="77777777" w:rsidR="006D7046" w:rsidRDefault="00CB7E42">
    <w:pPr>
      <w:pStyle w:val="Encabezado"/>
    </w:pPr>
    <w:r>
      <w:rPr>
        <w:noProof/>
        <w:lang w:val="es-ES" w:eastAsia="es-ES"/>
      </w:rPr>
      <w:drawing>
        <wp:inline distT="0" distB="0" distL="0" distR="0" wp14:anchorId="5394F39A" wp14:editId="14522A5F">
          <wp:extent cx="5612130" cy="94470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612130" cy="9447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D28"/>
    <w:rsid w:val="00013A5E"/>
    <w:rsid w:val="0001624E"/>
    <w:rsid w:val="00021EA3"/>
    <w:rsid w:val="00022272"/>
    <w:rsid w:val="0003785B"/>
    <w:rsid w:val="00042973"/>
    <w:rsid w:val="00043BE1"/>
    <w:rsid w:val="00046F6D"/>
    <w:rsid w:val="00062D0E"/>
    <w:rsid w:val="00065C90"/>
    <w:rsid w:val="00093EDE"/>
    <w:rsid w:val="000952ED"/>
    <w:rsid w:val="000A1348"/>
    <w:rsid w:val="000A74F1"/>
    <w:rsid w:val="000B0D3D"/>
    <w:rsid w:val="000C0422"/>
    <w:rsid w:val="000D240A"/>
    <w:rsid w:val="000E5D57"/>
    <w:rsid w:val="000E6E46"/>
    <w:rsid w:val="000E766A"/>
    <w:rsid w:val="000F7269"/>
    <w:rsid w:val="00111CB3"/>
    <w:rsid w:val="00116A0A"/>
    <w:rsid w:val="001228D9"/>
    <w:rsid w:val="001400DF"/>
    <w:rsid w:val="0016049B"/>
    <w:rsid w:val="001633F1"/>
    <w:rsid w:val="00166278"/>
    <w:rsid w:val="001675A4"/>
    <w:rsid w:val="0017524D"/>
    <w:rsid w:val="00176F49"/>
    <w:rsid w:val="00182194"/>
    <w:rsid w:val="0018357B"/>
    <w:rsid w:val="00190DC3"/>
    <w:rsid w:val="001A1146"/>
    <w:rsid w:val="001A308F"/>
    <w:rsid w:val="001A7284"/>
    <w:rsid w:val="001B33B3"/>
    <w:rsid w:val="001C3F63"/>
    <w:rsid w:val="001C6C24"/>
    <w:rsid w:val="001C707C"/>
    <w:rsid w:val="001E3628"/>
    <w:rsid w:val="001E6BDE"/>
    <w:rsid w:val="001F3AD1"/>
    <w:rsid w:val="0020228A"/>
    <w:rsid w:val="00204736"/>
    <w:rsid w:val="0020641B"/>
    <w:rsid w:val="00216B06"/>
    <w:rsid w:val="00217462"/>
    <w:rsid w:val="00226838"/>
    <w:rsid w:val="00232C01"/>
    <w:rsid w:val="00236D73"/>
    <w:rsid w:val="00241255"/>
    <w:rsid w:val="0025134C"/>
    <w:rsid w:val="00260C4F"/>
    <w:rsid w:val="002650A3"/>
    <w:rsid w:val="00275A11"/>
    <w:rsid w:val="00276A30"/>
    <w:rsid w:val="00280512"/>
    <w:rsid w:val="00286768"/>
    <w:rsid w:val="002921CD"/>
    <w:rsid w:val="00296F74"/>
    <w:rsid w:val="002A0A7D"/>
    <w:rsid w:val="002A549E"/>
    <w:rsid w:val="002E0D28"/>
    <w:rsid w:val="002E0EEF"/>
    <w:rsid w:val="002E2A91"/>
    <w:rsid w:val="002F1F56"/>
    <w:rsid w:val="002F42D6"/>
    <w:rsid w:val="002F6742"/>
    <w:rsid w:val="002F7E00"/>
    <w:rsid w:val="003062AD"/>
    <w:rsid w:val="00313A7A"/>
    <w:rsid w:val="003221C2"/>
    <w:rsid w:val="00332017"/>
    <w:rsid w:val="0034622C"/>
    <w:rsid w:val="003515BE"/>
    <w:rsid w:val="00355751"/>
    <w:rsid w:val="00357AF1"/>
    <w:rsid w:val="00371180"/>
    <w:rsid w:val="003728B1"/>
    <w:rsid w:val="00372AED"/>
    <w:rsid w:val="0038265D"/>
    <w:rsid w:val="00393391"/>
    <w:rsid w:val="00397F39"/>
    <w:rsid w:val="003A66E8"/>
    <w:rsid w:val="003B18D7"/>
    <w:rsid w:val="003B4A17"/>
    <w:rsid w:val="003B6FB5"/>
    <w:rsid w:val="003B7B13"/>
    <w:rsid w:val="003C1AAD"/>
    <w:rsid w:val="003D2F28"/>
    <w:rsid w:val="003D4339"/>
    <w:rsid w:val="003D6FEE"/>
    <w:rsid w:val="003E1B56"/>
    <w:rsid w:val="003E7F5C"/>
    <w:rsid w:val="003F6636"/>
    <w:rsid w:val="00405840"/>
    <w:rsid w:val="004073FD"/>
    <w:rsid w:val="00414F93"/>
    <w:rsid w:val="00457564"/>
    <w:rsid w:val="0047436E"/>
    <w:rsid w:val="004776C9"/>
    <w:rsid w:val="004974CF"/>
    <w:rsid w:val="004A2B97"/>
    <w:rsid w:val="004C661C"/>
    <w:rsid w:val="004C7973"/>
    <w:rsid w:val="004F637A"/>
    <w:rsid w:val="00502BB6"/>
    <w:rsid w:val="00516750"/>
    <w:rsid w:val="005210BB"/>
    <w:rsid w:val="0054232B"/>
    <w:rsid w:val="00550EBB"/>
    <w:rsid w:val="00570317"/>
    <w:rsid w:val="005711E7"/>
    <w:rsid w:val="005A4FCF"/>
    <w:rsid w:val="005A687D"/>
    <w:rsid w:val="005B742E"/>
    <w:rsid w:val="005C5351"/>
    <w:rsid w:val="005E20D1"/>
    <w:rsid w:val="005E2452"/>
    <w:rsid w:val="005F4356"/>
    <w:rsid w:val="005F5A75"/>
    <w:rsid w:val="006102CC"/>
    <w:rsid w:val="006265E7"/>
    <w:rsid w:val="0062789B"/>
    <w:rsid w:val="00641FA8"/>
    <w:rsid w:val="00651DE6"/>
    <w:rsid w:val="006637A5"/>
    <w:rsid w:val="006735F2"/>
    <w:rsid w:val="00677095"/>
    <w:rsid w:val="00685B63"/>
    <w:rsid w:val="00687E7F"/>
    <w:rsid w:val="006B034E"/>
    <w:rsid w:val="006B09A2"/>
    <w:rsid w:val="006B5AD8"/>
    <w:rsid w:val="006D19F3"/>
    <w:rsid w:val="006D2FE1"/>
    <w:rsid w:val="006D7046"/>
    <w:rsid w:val="006E36A4"/>
    <w:rsid w:val="006F4CC9"/>
    <w:rsid w:val="0071410C"/>
    <w:rsid w:val="00721DCE"/>
    <w:rsid w:val="00722954"/>
    <w:rsid w:val="007246CD"/>
    <w:rsid w:val="00743BF6"/>
    <w:rsid w:val="007700D0"/>
    <w:rsid w:val="00773DA3"/>
    <w:rsid w:val="00775E6D"/>
    <w:rsid w:val="007915A6"/>
    <w:rsid w:val="00792A68"/>
    <w:rsid w:val="00792FDF"/>
    <w:rsid w:val="00794690"/>
    <w:rsid w:val="007A61EF"/>
    <w:rsid w:val="007B345B"/>
    <w:rsid w:val="007B6021"/>
    <w:rsid w:val="007D548C"/>
    <w:rsid w:val="007E38E9"/>
    <w:rsid w:val="007F7C03"/>
    <w:rsid w:val="008007DB"/>
    <w:rsid w:val="0080597D"/>
    <w:rsid w:val="00807255"/>
    <w:rsid w:val="00810655"/>
    <w:rsid w:val="00810987"/>
    <w:rsid w:val="008136CA"/>
    <w:rsid w:val="00815C73"/>
    <w:rsid w:val="00816BF7"/>
    <w:rsid w:val="00820D96"/>
    <w:rsid w:val="0082621E"/>
    <w:rsid w:val="00827C48"/>
    <w:rsid w:val="00832E05"/>
    <w:rsid w:val="0084223E"/>
    <w:rsid w:val="00850313"/>
    <w:rsid w:val="00852B4F"/>
    <w:rsid w:val="00857BAE"/>
    <w:rsid w:val="00864C36"/>
    <w:rsid w:val="00891581"/>
    <w:rsid w:val="00896CC1"/>
    <w:rsid w:val="008A4A23"/>
    <w:rsid w:val="008B00FD"/>
    <w:rsid w:val="008C7B93"/>
    <w:rsid w:val="008E264A"/>
    <w:rsid w:val="008E3445"/>
    <w:rsid w:val="008F2F04"/>
    <w:rsid w:val="008F3278"/>
    <w:rsid w:val="008F5A05"/>
    <w:rsid w:val="00904526"/>
    <w:rsid w:val="00911D39"/>
    <w:rsid w:val="00924E44"/>
    <w:rsid w:val="00931A3D"/>
    <w:rsid w:val="00956DFB"/>
    <w:rsid w:val="0096469D"/>
    <w:rsid w:val="00965145"/>
    <w:rsid w:val="00972B1F"/>
    <w:rsid w:val="00983DA4"/>
    <w:rsid w:val="00987CDC"/>
    <w:rsid w:val="009A4492"/>
    <w:rsid w:val="009B024F"/>
    <w:rsid w:val="009F7B0C"/>
    <w:rsid w:val="00A001D5"/>
    <w:rsid w:val="00A11482"/>
    <w:rsid w:val="00A14270"/>
    <w:rsid w:val="00A2471A"/>
    <w:rsid w:val="00A266E2"/>
    <w:rsid w:val="00A306F5"/>
    <w:rsid w:val="00A35BA1"/>
    <w:rsid w:val="00A36915"/>
    <w:rsid w:val="00A42607"/>
    <w:rsid w:val="00A509AF"/>
    <w:rsid w:val="00A53AA9"/>
    <w:rsid w:val="00A5448F"/>
    <w:rsid w:val="00A55A5E"/>
    <w:rsid w:val="00A60E70"/>
    <w:rsid w:val="00A67F45"/>
    <w:rsid w:val="00A731CF"/>
    <w:rsid w:val="00A77FC6"/>
    <w:rsid w:val="00A81234"/>
    <w:rsid w:val="00A8570D"/>
    <w:rsid w:val="00A909BF"/>
    <w:rsid w:val="00A9162B"/>
    <w:rsid w:val="00AA6411"/>
    <w:rsid w:val="00AA76B1"/>
    <w:rsid w:val="00AB0C9B"/>
    <w:rsid w:val="00AB14E7"/>
    <w:rsid w:val="00AB2118"/>
    <w:rsid w:val="00AC56B9"/>
    <w:rsid w:val="00B17A2B"/>
    <w:rsid w:val="00B24914"/>
    <w:rsid w:val="00B25D5B"/>
    <w:rsid w:val="00B2707F"/>
    <w:rsid w:val="00B30C23"/>
    <w:rsid w:val="00B43E31"/>
    <w:rsid w:val="00B62ABC"/>
    <w:rsid w:val="00B6355C"/>
    <w:rsid w:val="00B76A80"/>
    <w:rsid w:val="00B904FA"/>
    <w:rsid w:val="00B9570E"/>
    <w:rsid w:val="00B974E0"/>
    <w:rsid w:val="00BA5247"/>
    <w:rsid w:val="00BA73D4"/>
    <w:rsid w:val="00BB1CD8"/>
    <w:rsid w:val="00BB7748"/>
    <w:rsid w:val="00BC169C"/>
    <w:rsid w:val="00BC308D"/>
    <w:rsid w:val="00BC6763"/>
    <w:rsid w:val="00BC6A72"/>
    <w:rsid w:val="00BD2E83"/>
    <w:rsid w:val="00BD72BC"/>
    <w:rsid w:val="00BE67CF"/>
    <w:rsid w:val="00BE67F5"/>
    <w:rsid w:val="00BE6ABF"/>
    <w:rsid w:val="00BE700A"/>
    <w:rsid w:val="00BF7767"/>
    <w:rsid w:val="00C1783C"/>
    <w:rsid w:val="00C21505"/>
    <w:rsid w:val="00C23D9E"/>
    <w:rsid w:val="00C254D6"/>
    <w:rsid w:val="00C3053E"/>
    <w:rsid w:val="00C32125"/>
    <w:rsid w:val="00C36EC1"/>
    <w:rsid w:val="00C43BDD"/>
    <w:rsid w:val="00C47DCB"/>
    <w:rsid w:val="00C50ADF"/>
    <w:rsid w:val="00C52530"/>
    <w:rsid w:val="00C57D73"/>
    <w:rsid w:val="00C60BA0"/>
    <w:rsid w:val="00C66C7E"/>
    <w:rsid w:val="00C856CE"/>
    <w:rsid w:val="00C92344"/>
    <w:rsid w:val="00C95644"/>
    <w:rsid w:val="00CA18ED"/>
    <w:rsid w:val="00CA6284"/>
    <w:rsid w:val="00CB7E42"/>
    <w:rsid w:val="00CD3940"/>
    <w:rsid w:val="00D0328B"/>
    <w:rsid w:val="00D05127"/>
    <w:rsid w:val="00D13B07"/>
    <w:rsid w:val="00D174E2"/>
    <w:rsid w:val="00D2077F"/>
    <w:rsid w:val="00D35729"/>
    <w:rsid w:val="00D66373"/>
    <w:rsid w:val="00D75B84"/>
    <w:rsid w:val="00D7784D"/>
    <w:rsid w:val="00D81C56"/>
    <w:rsid w:val="00D83A0B"/>
    <w:rsid w:val="00D85595"/>
    <w:rsid w:val="00DA05EB"/>
    <w:rsid w:val="00DA2189"/>
    <w:rsid w:val="00DC1073"/>
    <w:rsid w:val="00DC2DD1"/>
    <w:rsid w:val="00DD4EC9"/>
    <w:rsid w:val="00DE32E5"/>
    <w:rsid w:val="00DE4EF8"/>
    <w:rsid w:val="00E011E3"/>
    <w:rsid w:val="00E15C96"/>
    <w:rsid w:val="00E205B7"/>
    <w:rsid w:val="00E31F58"/>
    <w:rsid w:val="00E3300F"/>
    <w:rsid w:val="00E45ADB"/>
    <w:rsid w:val="00E51933"/>
    <w:rsid w:val="00E8023B"/>
    <w:rsid w:val="00E80462"/>
    <w:rsid w:val="00E82853"/>
    <w:rsid w:val="00EA5FF1"/>
    <w:rsid w:val="00EB026A"/>
    <w:rsid w:val="00EB0B52"/>
    <w:rsid w:val="00EB1922"/>
    <w:rsid w:val="00EB588F"/>
    <w:rsid w:val="00EC404F"/>
    <w:rsid w:val="00ED49EA"/>
    <w:rsid w:val="00ED7614"/>
    <w:rsid w:val="00EE603C"/>
    <w:rsid w:val="00EF69D9"/>
    <w:rsid w:val="00F00E01"/>
    <w:rsid w:val="00F120F1"/>
    <w:rsid w:val="00F14930"/>
    <w:rsid w:val="00F2016E"/>
    <w:rsid w:val="00F25FA2"/>
    <w:rsid w:val="00F50537"/>
    <w:rsid w:val="00F52555"/>
    <w:rsid w:val="00F54516"/>
    <w:rsid w:val="00F75D28"/>
    <w:rsid w:val="00F82085"/>
    <w:rsid w:val="00F96333"/>
    <w:rsid w:val="00F9773F"/>
    <w:rsid w:val="00FB1EF9"/>
    <w:rsid w:val="00FC3891"/>
    <w:rsid w:val="00FD0E56"/>
    <w:rsid w:val="00FE4001"/>
    <w:rsid w:val="00FF3EA4"/>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E4E3"/>
  <w15:docId w15:val="{364494E8-5298-4D28-B07D-BBDECC24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23"/>
    <w:pPr>
      <w:spacing w:after="200" w:line="276" w:lineRule="auto"/>
    </w:pPr>
    <w:rPr>
      <w:lang w:val="es-MX"/>
    </w:rPr>
  </w:style>
  <w:style w:type="paragraph" w:styleId="Ttulo2">
    <w:name w:val="heading 2"/>
    <w:basedOn w:val="Normal"/>
    <w:next w:val="Normal"/>
    <w:link w:val="Ttulo2Car"/>
    <w:uiPriority w:val="9"/>
    <w:semiHidden/>
    <w:unhideWhenUsed/>
    <w:qFormat/>
    <w:rsid w:val="00A77FC6"/>
    <w:pPr>
      <w:keepNext/>
      <w:suppressAutoHyphens/>
      <w:spacing w:before="240" w:after="60" w:line="240" w:lineRule="auto"/>
      <w:outlineLvl w:val="1"/>
    </w:pPr>
    <w:rPr>
      <w:rFonts w:ascii="Calibri Light" w:eastAsia="Times New Roman" w:hAnsi="Calibri Light" w:cs="Times New Roman"/>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99"/>
    <w:qFormat/>
    <w:rsid w:val="00816BF7"/>
    <w:pPr>
      <w:ind w:left="720"/>
      <w:contextualSpacing/>
    </w:pPr>
  </w:style>
  <w:style w:type="paragraph" w:styleId="Sinespaciado">
    <w:name w:val="No Spacing"/>
    <w:aliases w:val="capítulos"/>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 w:type="character" w:customStyle="1" w:styleId="Ttulo2Car">
    <w:name w:val="Título 2 Car"/>
    <w:basedOn w:val="Fuentedeprrafopredeter"/>
    <w:link w:val="Ttulo2"/>
    <w:uiPriority w:val="9"/>
    <w:semiHidden/>
    <w:rsid w:val="00A77FC6"/>
    <w:rPr>
      <w:rFonts w:ascii="Calibri Light" w:eastAsia="Times New Roman" w:hAnsi="Calibri Light" w:cs="Times New Roman"/>
      <w:b/>
      <w:bCs/>
      <w:i/>
      <w:iCs/>
      <w:sz w:val="28"/>
      <w:szCs w:val="28"/>
      <w:lang w:val="es-ES" w:eastAsia="ar-SA"/>
    </w:rPr>
  </w:style>
  <w:style w:type="character" w:styleId="nfasis">
    <w:name w:val="Emphasis"/>
    <w:basedOn w:val="Fuentedeprrafopredeter"/>
    <w:qFormat/>
    <w:rsid w:val="00A77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5563">
      <w:bodyDiv w:val="1"/>
      <w:marLeft w:val="0"/>
      <w:marRight w:val="0"/>
      <w:marTop w:val="0"/>
      <w:marBottom w:val="0"/>
      <w:divBdr>
        <w:top w:val="none" w:sz="0" w:space="0" w:color="auto"/>
        <w:left w:val="none" w:sz="0" w:space="0" w:color="auto"/>
        <w:bottom w:val="none" w:sz="0" w:space="0" w:color="auto"/>
        <w:right w:val="none" w:sz="0" w:space="0" w:color="auto"/>
      </w:divBdr>
    </w:div>
    <w:div w:id="58552114">
      <w:bodyDiv w:val="1"/>
      <w:marLeft w:val="0"/>
      <w:marRight w:val="0"/>
      <w:marTop w:val="0"/>
      <w:marBottom w:val="0"/>
      <w:divBdr>
        <w:top w:val="none" w:sz="0" w:space="0" w:color="auto"/>
        <w:left w:val="none" w:sz="0" w:space="0" w:color="auto"/>
        <w:bottom w:val="none" w:sz="0" w:space="0" w:color="auto"/>
        <w:right w:val="none" w:sz="0" w:space="0" w:color="auto"/>
      </w:divBdr>
    </w:div>
    <w:div w:id="61564590">
      <w:bodyDiv w:val="1"/>
      <w:marLeft w:val="0"/>
      <w:marRight w:val="0"/>
      <w:marTop w:val="0"/>
      <w:marBottom w:val="0"/>
      <w:divBdr>
        <w:top w:val="none" w:sz="0" w:space="0" w:color="auto"/>
        <w:left w:val="none" w:sz="0" w:space="0" w:color="auto"/>
        <w:bottom w:val="none" w:sz="0" w:space="0" w:color="auto"/>
        <w:right w:val="none" w:sz="0" w:space="0" w:color="auto"/>
      </w:divBdr>
    </w:div>
    <w:div w:id="123935972">
      <w:bodyDiv w:val="1"/>
      <w:marLeft w:val="0"/>
      <w:marRight w:val="0"/>
      <w:marTop w:val="0"/>
      <w:marBottom w:val="0"/>
      <w:divBdr>
        <w:top w:val="none" w:sz="0" w:space="0" w:color="auto"/>
        <w:left w:val="none" w:sz="0" w:space="0" w:color="auto"/>
        <w:bottom w:val="none" w:sz="0" w:space="0" w:color="auto"/>
        <w:right w:val="none" w:sz="0" w:space="0" w:color="auto"/>
      </w:divBdr>
    </w:div>
    <w:div w:id="135536728">
      <w:bodyDiv w:val="1"/>
      <w:marLeft w:val="0"/>
      <w:marRight w:val="0"/>
      <w:marTop w:val="0"/>
      <w:marBottom w:val="0"/>
      <w:divBdr>
        <w:top w:val="none" w:sz="0" w:space="0" w:color="auto"/>
        <w:left w:val="none" w:sz="0" w:space="0" w:color="auto"/>
        <w:bottom w:val="none" w:sz="0" w:space="0" w:color="auto"/>
        <w:right w:val="none" w:sz="0" w:space="0" w:color="auto"/>
      </w:divBdr>
    </w:div>
    <w:div w:id="142964672">
      <w:bodyDiv w:val="1"/>
      <w:marLeft w:val="0"/>
      <w:marRight w:val="0"/>
      <w:marTop w:val="0"/>
      <w:marBottom w:val="0"/>
      <w:divBdr>
        <w:top w:val="none" w:sz="0" w:space="0" w:color="auto"/>
        <w:left w:val="none" w:sz="0" w:space="0" w:color="auto"/>
        <w:bottom w:val="none" w:sz="0" w:space="0" w:color="auto"/>
        <w:right w:val="none" w:sz="0" w:space="0" w:color="auto"/>
      </w:divBdr>
    </w:div>
    <w:div w:id="170224634">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222255349">
      <w:bodyDiv w:val="1"/>
      <w:marLeft w:val="0"/>
      <w:marRight w:val="0"/>
      <w:marTop w:val="0"/>
      <w:marBottom w:val="0"/>
      <w:divBdr>
        <w:top w:val="none" w:sz="0" w:space="0" w:color="auto"/>
        <w:left w:val="none" w:sz="0" w:space="0" w:color="auto"/>
        <w:bottom w:val="none" w:sz="0" w:space="0" w:color="auto"/>
        <w:right w:val="none" w:sz="0" w:space="0" w:color="auto"/>
      </w:divBdr>
    </w:div>
    <w:div w:id="236288453">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538975540">
      <w:bodyDiv w:val="1"/>
      <w:marLeft w:val="0"/>
      <w:marRight w:val="0"/>
      <w:marTop w:val="0"/>
      <w:marBottom w:val="0"/>
      <w:divBdr>
        <w:top w:val="none" w:sz="0" w:space="0" w:color="auto"/>
        <w:left w:val="none" w:sz="0" w:space="0" w:color="auto"/>
        <w:bottom w:val="none" w:sz="0" w:space="0" w:color="auto"/>
        <w:right w:val="none" w:sz="0" w:space="0" w:color="auto"/>
      </w:divBdr>
    </w:div>
    <w:div w:id="594293184">
      <w:bodyDiv w:val="1"/>
      <w:marLeft w:val="0"/>
      <w:marRight w:val="0"/>
      <w:marTop w:val="0"/>
      <w:marBottom w:val="0"/>
      <w:divBdr>
        <w:top w:val="none" w:sz="0" w:space="0" w:color="auto"/>
        <w:left w:val="none" w:sz="0" w:space="0" w:color="auto"/>
        <w:bottom w:val="none" w:sz="0" w:space="0" w:color="auto"/>
        <w:right w:val="none" w:sz="0" w:space="0" w:color="auto"/>
      </w:divBdr>
    </w:div>
    <w:div w:id="640579802">
      <w:bodyDiv w:val="1"/>
      <w:marLeft w:val="0"/>
      <w:marRight w:val="0"/>
      <w:marTop w:val="0"/>
      <w:marBottom w:val="0"/>
      <w:divBdr>
        <w:top w:val="none" w:sz="0" w:space="0" w:color="auto"/>
        <w:left w:val="none" w:sz="0" w:space="0" w:color="auto"/>
        <w:bottom w:val="none" w:sz="0" w:space="0" w:color="auto"/>
        <w:right w:val="none" w:sz="0" w:space="0" w:color="auto"/>
      </w:divBdr>
    </w:div>
    <w:div w:id="649596234">
      <w:bodyDiv w:val="1"/>
      <w:marLeft w:val="0"/>
      <w:marRight w:val="0"/>
      <w:marTop w:val="0"/>
      <w:marBottom w:val="0"/>
      <w:divBdr>
        <w:top w:val="none" w:sz="0" w:space="0" w:color="auto"/>
        <w:left w:val="none" w:sz="0" w:space="0" w:color="auto"/>
        <w:bottom w:val="none" w:sz="0" w:space="0" w:color="auto"/>
        <w:right w:val="none" w:sz="0" w:space="0" w:color="auto"/>
      </w:divBdr>
    </w:div>
    <w:div w:id="651059277">
      <w:bodyDiv w:val="1"/>
      <w:marLeft w:val="0"/>
      <w:marRight w:val="0"/>
      <w:marTop w:val="0"/>
      <w:marBottom w:val="0"/>
      <w:divBdr>
        <w:top w:val="none" w:sz="0" w:space="0" w:color="auto"/>
        <w:left w:val="none" w:sz="0" w:space="0" w:color="auto"/>
        <w:bottom w:val="none" w:sz="0" w:space="0" w:color="auto"/>
        <w:right w:val="none" w:sz="0" w:space="0" w:color="auto"/>
      </w:divBdr>
    </w:div>
    <w:div w:id="656810235">
      <w:bodyDiv w:val="1"/>
      <w:marLeft w:val="0"/>
      <w:marRight w:val="0"/>
      <w:marTop w:val="0"/>
      <w:marBottom w:val="0"/>
      <w:divBdr>
        <w:top w:val="none" w:sz="0" w:space="0" w:color="auto"/>
        <w:left w:val="none" w:sz="0" w:space="0" w:color="auto"/>
        <w:bottom w:val="none" w:sz="0" w:space="0" w:color="auto"/>
        <w:right w:val="none" w:sz="0" w:space="0" w:color="auto"/>
      </w:divBdr>
    </w:div>
    <w:div w:id="671108136">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829715389">
      <w:bodyDiv w:val="1"/>
      <w:marLeft w:val="0"/>
      <w:marRight w:val="0"/>
      <w:marTop w:val="0"/>
      <w:marBottom w:val="0"/>
      <w:divBdr>
        <w:top w:val="none" w:sz="0" w:space="0" w:color="auto"/>
        <w:left w:val="none" w:sz="0" w:space="0" w:color="auto"/>
        <w:bottom w:val="none" w:sz="0" w:space="0" w:color="auto"/>
        <w:right w:val="none" w:sz="0" w:space="0" w:color="auto"/>
      </w:divBdr>
    </w:div>
    <w:div w:id="916986167">
      <w:bodyDiv w:val="1"/>
      <w:marLeft w:val="0"/>
      <w:marRight w:val="0"/>
      <w:marTop w:val="0"/>
      <w:marBottom w:val="0"/>
      <w:divBdr>
        <w:top w:val="none" w:sz="0" w:space="0" w:color="auto"/>
        <w:left w:val="none" w:sz="0" w:space="0" w:color="auto"/>
        <w:bottom w:val="none" w:sz="0" w:space="0" w:color="auto"/>
        <w:right w:val="none" w:sz="0" w:space="0" w:color="auto"/>
      </w:divBdr>
    </w:div>
    <w:div w:id="952596977">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00623416">
      <w:bodyDiv w:val="1"/>
      <w:marLeft w:val="0"/>
      <w:marRight w:val="0"/>
      <w:marTop w:val="0"/>
      <w:marBottom w:val="0"/>
      <w:divBdr>
        <w:top w:val="none" w:sz="0" w:space="0" w:color="auto"/>
        <w:left w:val="none" w:sz="0" w:space="0" w:color="auto"/>
        <w:bottom w:val="none" w:sz="0" w:space="0" w:color="auto"/>
        <w:right w:val="none" w:sz="0" w:space="0" w:color="auto"/>
      </w:divBdr>
    </w:div>
    <w:div w:id="1008868708">
      <w:bodyDiv w:val="1"/>
      <w:marLeft w:val="0"/>
      <w:marRight w:val="0"/>
      <w:marTop w:val="0"/>
      <w:marBottom w:val="0"/>
      <w:divBdr>
        <w:top w:val="none" w:sz="0" w:space="0" w:color="auto"/>
        <w:left w:val="none" w:sz="0" w:space="0" w:color="auto"/>
        <w:bottom w:val="none" w:sz="0" w:space="0" w:color="auto"/>
        <w:right w:val="none" w:sz="0" w:space="0" w:color="auto"/>
      </w:divBdr>
    </w:div>
    <w:div w:id="1045178771">
      <w:bodyDiv w:val="1"/>
      <w:marLeft w:val="0"/>
      <w:marRight w:val="0"/>
      <w:marTop w:val="0"/>
      <w:marBottom w:val="0"/>
      <w:divBdr>
        <w:top w:val="none" w:sz="0" w:space="0" w:color="auto"/>
        <w:left w:val="none" w:sz="0" w:space="0" w:color="auto"/>
        <w:bottom w:val="none" w:sz="0" w:space="0" w:color="auto"/>
        <w:right w:val="none" w:sz="0" w:space="0" w:color="auto"/>
      </w:divBdr>
    </w:div>
    <w:div w:id="1064526513">
      <w:bodyDiv w:val="1"/>
      <w:marLeft w:val="0"/>
      <w:marRight w:val="0"/>
      <w:marTop w:val="0"/>
      <w:marBottom w:val="0"/>
      <w:divBdr>
        <w:top w:val="none" w:sz="0" w:space="0" w:color="auto"/>
        <w:left w:val="none" w:sz="0" w:space="0" w:color="auto"/>
        <w:bottom w:val="none" w:sz="0" w:space="0" w:color="auto"/>
        <w:right w:val="none" w:sz="0" w:space="0" w:color="auto"/>
      </w:divBdr>
    </w:div>
    <w:div w:id="1066760739">
      <w:bodyDiv w:val="1"/>
      <w:marLeft w:val="0"/>
      <w:marRight w:val="0"/>
      <w:marTop w:val="0"/>
      <w:marBottom w:val="0"/>
      <w:divBdr>
        <w:top w:val="none" w:sz="0" w:space="0" w:color="auto"/>
        <w:left w:val="none" w:sz="0" w:space="0" w:color="auto"/>
        <w:bottom w:val="none" w:sz="0" w:space="0" w:color="auto"/>
        <w:right w:val="none" w:sz="0" w:space="0" w:color="auto"/>
      </w:divBdr>
    </w:div>
    <w:div w:id="107920899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00434460">
      <w:bodyDiv w:val="1"/>
      <w:marLeft w:val="0"/>
      <w:marRight w:val="0"/>
      <w:marTop w:val="0"/>
      <w:marBottom w:val="0"/>
      <w:divBdr>
        <w:top w:val="none" w:sz="0" w:space="0" w:color="auto"/>
        <w:left w:val="none" w:sz="0" w:space="0" w:color="auto"/>
        <w:bottom w:val="none" w:sz="0" w:space="0" w:color="auto"/>
        <w:right w:val="none" w:sz="0" w:space="0" w:color="auto"/>
      </w:divBdr>
    </w:div>
    <w:div w:id="1219778296">
      <w:bodyDiv w:val="1"/>
      <w:marLeft w:val="0"/>
      <w:marRight w:val="0"/>
      <w:marTop w:val="0"/>
      <w:marBottom w:val="0"/>
      <w:divBdr>
        <w:top w:val="none" w:sz="0" w:space="0" w:color="auto"/>
        <w:left w:val="none" w:sz="0" w:space="0" w:color="auto"/>
        <w:bottom w:val="none" w:sz="0" w:space="0" w:color="auto"/>
        <w:right w:val="none" w:sz="0" w:space="0" w:color="auto"/>
      </w:divBdr>
    </w:div>
    <w:div w:id="1231382534">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376391476">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463956545">
      <w:bodyDiv w:val="1"/>
      <w:marLeft w:val="0"/>
      <w:marRight w:val="0"/>
      <w:marTop w:val="0"/>
      <w:marBottom w:val="0"/>
      <w:divBdr>
        <w:top w:val="none" w:sz="0" w:space="0" w:color="auto"/>
        <w:left w:val="none" w:sz="0" w:space="0" w:color="auto"/>
        <w:bottom w:val="none" w:sz="0" w:space="0" w:color="auto"/>
        <w:right w:val="none" w:sz="0" w:space="0" w:color="auto"/>
      </w:divBdr>
    </w:div>
    <w:div w:id="1470434970">
      <w:bodyDiv w:val="1"/>
      <w:marLeft w:val="0"/>
      <w:marRight w:val="0"/>
      <w:marTop w:val="0"/>
      <w:marBottom w:val="0"/>
      <w:divBdr>
        <w:top w:val="none" w:sz="0" w:space="0" w:color="auto"/>
        <w:left w:val="none" w:sz="0" w:space="0" w:color="auto"/>
        <w:bottom w:val="none" w:sz="0" w:space="0" w:color="auto"/>
        <w:right w:val="none" w:sz="0" w:space="0" w:color="auto"/>
      </w:divBdr>
    </w:div>
    <w:div w:id="1472675803">
      <w:bodyDiv w:val="1"/>
      <w:marLeft w:val="0"/>
      <w:marRight w:val="0"/>
      <w:marTop w:val="0"/>
      <w:marBottom w:val="0"/>
      <w:divBdr>
        <w:top w:val="none" w:sz="0" w:space="0" w:color="auto"/>
        <w:left w:val="none" w:sz="0" w:space="0" w:color="auto"/>
        <w:bottom w:val="none" w:sz="0" w:space="0" w:color="auto"/>
        <w:right w:val="none" w:sz="0" w:space="0" w:color="auto"/>
      </w:divBdr>
    </w:div>
    <w:div w:id="1510483068">
      <w:bodyDiv w:val="1"/>
      <w:marLeft w:val="0"/>
      <w:marRight w:val="0"/>
      <w:marTop w:val="0"/>
      <w:marBottom w:val="0"/>
      <w:divBdr>
        <w:top w:val="none" w:sz="0" w:space="0" w:color="auto"/>
        <w:left w:val="none" w:sz="0" w:space="0" w:color="auto"/>
        <w:bottom w:val="none" w:sz="0" w:space="0" w:color="auto"/>
        <w:right w:val="none" w:sz="0" w:space="0" w:color="auto"/>
      </w:divBdr>
    </w:div>
    <w:div w:id="1539271208">
      <w:bodyDiv w:val="1"/>
      <w:marLeft w:val="0"/>
      <w:marRight w:val="0"/>
      <w:marTop w:val="0"/>
      <w:marBottom w:val="0"/>
      <w:divBdr>
        <w:top w:val="none" w:sz="0" w:space="0" w:color="auto"/>
        <w:left w:val="none" w:sz="0" w:space="0" w:color="auto"/>
        <w:bottom w:val="none" w:sz="0" w:space="0" w:color="auto"/>
        <w:right w:val="none" w:sz="0" w:space="0" w:color="auto"/>
      </w:divBdr>
    </w:div>
    <w:div w:id="1552422731">
      <w:bodyDiv w:val="1"/>
      <w:marLeft w:val="0"/>
      <w:marRight w:val="0"/>
      <w:marTop w:val="0"/>
      <w:marBottom w:val="0"/>
      <w:divBdr>
        <w:top w:val="none" w:sz="0" w:space="0" w:color="auto"/>
        <w:left w:val="none" w:sz="0" w:space="0" w:color="auto"/>
        <w:bottom w:val="none" w:sz="0" w:space="0" w:color="auto"/>
        <w:right w:val="none" w:sz="0" w:space="0" w:color="auto"/>
      </w:divBdr>
    </w:div>
    <w:div w:id="1631089130">
      <w:bodyDiv w:val="1"/>
      <w:marLeft w:val="0"/>
      <w:marRight w:val="0"/>
      <w:marTop w:val="0"/>
      <w:marBottom w:val="0"/>
      <w:divBdr>
        <w:top w:val="none" w:sz="0" w:space="0" w:color="auto"/>
        <w:left w:val="none" w:sz="0" w:space="0" w:color="auto"/>
        <w:bottom w:val="none" w:sz="0" w:space="0" w:color="auto"/>
        <w:right w:val="none" w:sz="0" w:space="0" w:color="auto"/>
      </w:divBdr>
    </w:div>
    <w:div w:id="164477619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668365225">
      <w:bodyDiv w:val="1"/>
      <w:marLeft w:val="0"/>
      <w:marRight w:val="0"/>
      <w:marTop w:val="0"/>
      <w:marBottom w:val="0"/>
      <w:divBdr>
        <w:top w:val="none" w:sz="0" w:space="0" w:color="auto"/>
        <w:left w:val="none" w:sz="0" w:space="0" w:color="auto"/>
        <w:bottom w:val="none" w:sz="0" w:space="0" w:color="auto"/>
        <w:right w:val="none" w:sz="0" w:space="0" w:color="auto"/>
      </w:divBdr>
    </w:div>
    <w:div w:id="1684093210">
      <w:bodyDiv w:val="1"/>
      <w:marLeft w:val="0"/>
      <w:marRight w:val="0"/>
      <w:marTop w:val="0"/>
      <w:marBottom w:val="0"/>
      <w:divBdr>
        <w:top w:val="none" w:sz="0" w:space="0" w:color="auto"/>
        <w:left w:val="none" w:sz="0" w:space="0" w:color="auto"/>
        <w:bottom w:val="none" w:sz="0" w:space="0" w:color="auto"/>
        <w:right w:val="none" w:sz="0" w:space="0" w:color="auto"/>
      </w:divBdr>
    </w:div>
    <w:div w:id="1737509140">
      <w:bodyDiv w:val="1"/>
      <w:marLeft w:val="0"/>
      <w:marRight w:val="0"/>
      <w:marTop w:val="0"/>
      <w:marBottom w:val="0"/>
      <w:divBdr>
        <w:top w:val="none" w:sz="0" w:space="0" w:color="auto"/>
        <w:left w:val="none" w:sz="0" w:space="0" w:color="auto"/>
        <w:bottom w:val="none" w:sz="0" w:space="0" w:color="auto"/>
        <w:right w:val="none" w:sz="0" w:space="0" w:color="auto"/>
      </w:divBdr>
    </w:div>
    <w:div w:id="1740906536">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787969087">
      <w:bodyDiv w:val="1"/>
      <w:marLeft w:val="0"/>
      <w:marRight w:val="0"/>
      <w:marTop w:val="0"/>
      <w:marBottom w:val="0"/>
      <w:divBdr>
        <w:top w:val="none" w:sz="0" w:space="0" w:color="auto"/>
        <w:left w:val="none" w:sz="0" w:space="0" w:color="auto"/>
        <w:bottom w:val="none" w:sz="0" w:space="0" w:color="auto"/>
        <w:right w:val="none" w:sz="0" w:space="0" w:color="auto"/>
      </w:divBdr>
    </w:div>
    <w:div w:id="1821573814">
      <w:bodyDiv w:val="1"/>
      <w:marLeft w:val="0"/>
      <w:marRight w:val="0"/>
      <w:marTop w:val="0"/>
      <w:marBottom w:val="0"/>
      <w:divBdr>
        <w:top w:val="none" w:sz="0" w:space="0" w:color="auto"/>
        <w:left w:val="none" w:sz="0" w:space="0" w:color="auto"/>
        <w:bottom w:val="none" w:sz="0" w:space="0" w:color="auto"/>
        <w:right w:val="none" w:sz="0" w:space="0" w:color="auto"/>
      </w:divBdr>
    </w:div>
    <w:div w:id="1826432598">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 w:id="2013726924">
      <w:bodyDiv w:val="1"/>
      <w:marLeft w:val="0"/>
      <w:marRight w:val="0"/>
      <w:marTop w:val="0"/>
      <w:marBottom w:val="0"/>
      <w:divBdr>
        <w:top w:val="none" w:sz="0" w:space="0" w:color="auto"/>
        <w:left w:val="none" w:sz="0" w:space="0" w:color="auto"/>
        <w:bottom w:val="none" w:sz="0" w:space="0" w:color="auto"/>
        <w:right w:val="none" w:sz="0" w:space="0" w:color="auto"/>
      </w:divBdr>
    </w:div>
    <w:div w:id="2101873990">
      <w:bodyDiv w:val="1"/>
      <w:marLeft w:val="0"/>
      <w:marRight w:val="0"/>
      <w:marTop w:val="0"/>
      <w:marBottom w:val="0"/>
      <w:divBdr>
        <w:top w:val="none" w:sz="0" w:space="0" w:color="auto"/>
        <w:left w:val="none" w:sz="0" w:space="0" w:color="auto"/>
        <w:bottom w:val="none" w:sz="0" w:space="0" w:color="auto"/>
        <w:right w:val="none" w:sz="0" w:space="0" w:color="auto"/>
      </w:divBdr>
    </w:div>
    <w:div w:id="21410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DF81-E000-4504-99A7-7DD21EDA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1102</Words>
  <Characters>6062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Dirección de Asuntos Jurídicos  y Plenarios</cp:lastModifiedBy>
  <cp:revision>7</cp:revision>
  <cp:lastPrinted>2021-12-14T21:41:00Z</cp:lastPrinted>
  <dcterms:created xsi:type="dcterms:W3CDTF">2021-11-16T21:50:00Z</dcterms:created>
  <dcterms:modified xsi:type="dcterms:W3CDTF">2025-01-13T18:31:00Z</dcterms:modified>
</cp:coreProperties>
</file>