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D50B" w14:textId="0DE4B955" w:rsidR="001A4AD6" w:rsidRDefault="00E2033C">
      <w:pPr>
        <w:jc w:val="center"/>
        <w:rPr>
          <w:b/>
        </w:rPr>
      </w:pPr>
      <w:r>
        <w:rPr>
          <w:b/>
        </w:rPr>
        <w:t xml:space="preserve">ACUERDO ADMINISTRATIVO </w:t>
      </w:r>
    </w:p>
    <w:p w14:paraId="40A9E076" w14:textId="63244C63" w:rsidR="001A4AD6" w:rsidRDefault="00E2033C">
      <w:pPr>
        <w:jc w:val="both"/>
      </w:pPr>
      <w:r>
        <w:t>En la ciudad de M</w:t>
      </w:r>
      <w:r w:rsidR="003A0592">
        <w:t>érida, Yucatán, siendo el primer día</w:t>
      </w:r>
      <w:r>
        <w:t xml:space="preserve"> del mes de octubre del año dos mil veintiuno, encontrándose reunidos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emiten el presente acuerdo de conformidad con los siguientes:</w:t>
      </w:r>
    </w:p>
    <w:p w14:paraId="5014E40F" w14:textId="77777777" w:rsidR="001A4AD6" w:rsidRDefault="00E2033C">
      <w:pPr>
        <w:jc w:val="center"/>
        <w:rPr>
          <w:b/>
        </w:rPr>
      </w:pPr>
      <w:r>
        <w:rPr>
          <w:b/>
        </w:rPr>
        <w:t>CONSIDERANDOS</w:t>
      </w:r>
    </w:p>
    <w:p w14:paraId="4C7E0172" w14:textId="77777777" w:rsidR="001A4AD6" w:rsidRDefault="00E2033C">
      <w:pPr>
        <w:jc w:val="both"/>
      </w:pPr>
      <w:r>
        <w:rPr>
          <w:b/>
        </w:rPr>
        <w:t>PRIMERO.-</w:t>
      </w:r>
      <w: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190A3EC5" w14:textId="77777777" w:rsidR="001A4AD6" w:rsidRDefault="00E2033C">
      <w:pPr>
        <w:jc w:val="both"/>
      </w:pPr>
      <w:r>
        <w:rPr>
          <w:b/>
        </w:rPr>
        <w:t xml:space="preserve">SEGUNDO.- </w:t>
      </w:r>
      <w: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w:t>
      </w:r>
    </w:p>
    <w:p w14:paraId="3916C291" w14:textId="77777777" w:rsidR="001A4AD6" w:rsidRPr="00A31A52" w:rsidRDefault="00E2033C">
      <w:pPr>
        <w:jc w:val="both"/>
      </w:pPr>
      <w:r>
        <w:rPr>
          <w:b/>
        </w:rPr>
        <w:t xml:space="preserve">TERCERO.- </w:t>
      </w:r>
      <w:r>
        <w:t xml:space="preserve">Que de conformidad con el artículo 64 fracción XVIII del Reglamento Interior del Instituto Estatal de Acceso a la Información Pública del Estado de Yucatán, vigente, la Dirección de Administración y Finanzas debe de aplicar el procedimiento relativo a las adquisiciones, enajenaciones, arrendamientos y contratación de servicios relacionados con bienes muebles e </w:t>
      </w:r>
      <w:r w:rsidRPr="00A31A52">
        <w:t>inmuebles del Instituto, de conformidad con la normatividad vigente;</w:t>
      </w:r>
    </w:p>
    <w:p w14:paraId="3932F497" w14:textId="7480DE3B" w:rsidR="001A4AD6" w:rsidRDefault="00E2033C">
      <w:pPr>
        <w:jc w:val="both"/>
      </w:pPr>
      <w:r w:rsidRPr="00A31A52">
        <w:rPr>
          <w:b/>
        </w:rPr>
        <w:t>CUARTO</w:t>
      </w:r>
      <w:r w:rsidRPr="00A31A52">
        <w:t xml:space="preserve">.- Que en fecha </w:t>
      </w:r>
      <w:r w:rsidR="000B7049" w:rsidRPr="00A31A52">
        <w:t>19</w:t>
      </w:r>
      <w:r w:rsidRPr="00A31A52">
        <w:t xml:space="preserve"> de </w:t>
      </w:r>
      <w:r w:rsidR="000B7049" w:rsidRPr="00A31A52">
        <w:t>octubre</w:t>
      </w:r>
      <w:r w:rsidRPr="00A31A52">
        <w:t xml:space="preserve"> de 2021, la Comisionada Presidenta de conformidad a lo establecido en el artículo 22 fracción VIII de la Ley de Transparencia y Acceso a la Información Pública</w:t>
      </w:r>
      <w:r w:rsidR="00407A6B" w:rsidRPr="00A31A52">
        <w:t xml:space="preserve"> del Estado de Yucatán</w:t>
      </w:r>
      <w:r w:rsidR="00407A6B">
        <w:t xml:space="preserve"> suscribirá</w:t>
      </w:r>
      <w:r>
        <w:t xml:space="preserve"> un contrato de arrendamiento respecto del predio marcado con el número </w:t>
      </w:r>
      <w:r>
        <w:rPr>
          <w:b/>
        </w:rPr>
        <w:t>185</w:t>
      </w:r>
      <w:r>
        <w:t xml:space="preserve"> de la calle </w:t>
      </w:r>
      <w:r>
        <w:rPr>
          <w:b/>
        </w:rPr>
        <w:t>21</w:t>
      </w:r>
      <w:r>
        <w:t xml:space="preserve"> de la Colonia </w:t>
      </w:r>
      <w:r>
        <w:rPr>
          <w:b/>
        </w:rPr>
        <w:t>García Ginerés</w:t>
      </w:r>
      <w:r>
        <w:t>.</w:t>
      </w:r>
    </w:p>
    <w:p w14:paraId="72DE1C5E" w14:textId="77777777" w:rsidR="001A4AD6" w:rsidRDefault="00E2033C">
      <w:pPr>
        <w:jc w:val="both"/>
      </w:pPr>
      <w:r>
        <w:rPr>
          <w:b/>
        </w:rPr>
        <w:t xml:space="preserve">QUINTO.- </w:t>
      </w:r>
      <w:r>
        <w:t>Que en los artículos 5, 6 y 7 de la Ley de Presupuesto y Contabilidad Gubernamental del Estado de Yucatán, señala a los organismos autónomos como ejecutores de gasto del Gobierno del Estado, así como cuáles son sus funciones y obligaciones.</w:t>
      </w:r>
    </w:p>
    <w:p w14:paraId="4DF34858" w14:textId="77777777" w:rsidR="001A4AD6" w:rsidRPr="00515D3F" w:rsidRDefault="00E2033C">
      <w:pPr>
        <w:jc w:val="both"/>
        <w:rPr>
          <w:highlight w:val="yellow"/>
        </w:rPr>
      </w:pPr>
      <w:r>
        <w:rPr>
          <w:b/>
        </w:rPr>
        <w:t xml:space="preserve">SEXTO.- </w:t>
      </w:r>
      <w:r>
        <w:t xml:space="preserve">Que de conformidad con lo dispuesto en el artículo 71 párrafo cuarto de la Ley de Presupuesto y Contabilidad Gubernamental del Estado de Yucatán, los organismos autónomos, a </w:t>
      </w:r>
      <w:r w:rsidRPr="00FC7DD6">
        <w:lastRenderedPageBreak/>
        <w:t>través de sus autoridades competentes, podrán autorizar la celebración de contratos plurianuales siempre y cuando cumplan lo dispuesto y emitan normas generales para su justificación y autorización.</w:t>
      </w:r>
    </w:p>
    <w:p w14:paraId="4F810BA2" w14:textId="57550252" w:rsidR="00FC7DD6" w:rsidRPr="00A31A52" w:rsidRDefault="00E2033C">
      <w:pPr>
        <w:jc w:val="both"/>
      </w:pPr>
      <w:r w:rsidRPr="00A31A52">
        <w:rPr>
          <w:b/>
        </w:rPr>
        <w:t xml:space="preserve">SÉPTIMO.- </w:t>
      </w:r>
      <w:r w:rsidRPr="00A31A52">
        <w:t xml:space="preserve"> Que en términos de lo establecido en los considerandos que anteceden al presente, el Pleno del Inaip Yucatán considera pertinente llevar a cabo la suscripción de un</w:t>
      </w:r>
      <w:r w:rsidR="00272785" w:rsidRPr="00A31A52">
        <w:t xml:space="preserve"> contrato de arrendamiento del</w:t>
      </w:r>
      <w:r w:rsidRPr="00A31A52">
        <w:t xml:space="preserve"> bien inmueble </w:t>
      </w:r>
      <w:r w:rsidR="00272785" w:rsidRPr="00A31A52">
        <w:t>marcado con el</w:t>
      </w:r>
      <w:r w:rsidRPr="00A31A52">
        <w:t xml:space="preserve"> número </w:t>
      </w:r>
      <w:r w:rsidRPr="00A31A52">
        <w:rPr>
          <w:b/>
        </w:rPr>
        <w:t>185</w:t>
      </w:r>
      <w:r w:rsidRPr="00A31A52">
        <w:t xml:space="preserve"> de la calle </w:t>
      </w:r>
      <w:r w:rsidRPr="00A31A52">
        <w:rPr>
          <w:b/>
        </w:rPr>
        <w:t>21</w:t>
      </w:r>
      <w:r w:rsidRPr="00A31A52">
        <w:t xml:space="preserve"> de la Colonia </w:t>
      </w:r>
      <w:r w:rsidRPr="00A31A52">
        <w:rPr>
          <w:b/>
        </w:rPr>
        <w:t>García Ginerés</w:t>
      </w:r>
      <w:r w:rsidR="00FC7DD6" w:rsidRPr="00A31A52">
        <w:t xml:space="preserve">; en razón de que el contrato </w:t>
      </w:r>
      <w:r w:rsidR="00272785" w:rsidRPr="00A31A52">
        <w:t>más reciente</w:t>
      </w:r>
      <w:r w:rsidR="00CF2975" w:rsidRPr="00A31A52">
        <w:t xml:space="preserve"> para el uso de dicho bien,</w:t>
      </w:r>
      <w:r w:rsidR="00272785" w:rsidRPr="00A31A52">
        <w:t xml:space="preserve"> venció</w:t>
      </w:r>
      <w:r w:rsidR="00FC7DD6" w:rsidRPr="00A31A52">
        <w:t xml:space="preserve"> e</w:t>
      </w:r>
      <w:r w:rsidR="00CF2975" w:rsidRPr="00A31A52">
        <w:t>l día 30 de septiembre de 2021.</w:t>
      </w:r>
    </w:p>
    <w:p w14:paraId="5AFA0EA9" w14:textId="77777777" w:rsidR="001A4AD6" w:rsidRDefault="00E2033C">
      <w:pPr>
        <w:jc w:val="both"/>
      </w:pPr>
      <w:r w:rsidRPr="00A31A52">
        <w:rPr>
          <w:b/>
        </w:rPr>
        <w:t>OCTAVO.-</w:t>
      </w:r>
      <w:r w:rsidRPr="00A31A52">
        <w:t xml:space="preserve"> Que de conformidad a lo establecido en el considerando CUARTO, se especifican las características del contrato de arrendamiento de los bienes inmuebles que se arrendarán: </w:t>
      </w:r>
    </w:p>
    <w:tbl>
      <w:tblPr>
        <w:tblStyle w:val="a"/>
        <w:tblW w:w="101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7"/>
        <w:gridCol w:w="1499"/>
        <w:gridCol w:w="1355"/>
        <w:gridCol w:w="1857"/>
        <w:gridCol w:w="1540"/>
        <w:gridCol w:w="1854"/>
      </w:tblGrid>
      <w:tr w:rsidR="001A4AD6" w:rsidRPr="00A31A52" w14:paraId="5CBC8CB7" w14:textId="77777777" w:rsidTr="00B165FD">
        <w:trPr>
          <w:trHeight w:val="1349"/>
          <w:jc w:val="center"/>
        </w:trPr>
        <w:tc>
          <w:tcPr>
            <w:tcW w:w="2057" w:type="dxa"/>
            <w:vAlign w:val="center"/>
          </w:tcPr>
          <w:p w14:paraId="216F4DE6" w14:textId="77777777" w:rsidR="001A4AD6" w:rsidRPr="00A31A52" w:rsidRDefault="00E2033C">
            <w:pPr>
              <w:jc w:val="center"/>
              <w:rPr>
                <w:b/>
              </w:rPr>
            </w:pPr>
            <w:r w:rsidRPr="00A31A52">
              <w:rPr>
                <w:b/>
              </w:rPr>
              <w:t>Tipo de contrato</w:t>
            </w:r>
          </w:p>
        </w:tc>
        <w:tc>
          <w:tcPr>
            <w:tcW w:w="1499" w:type="dxa"/>
            <w:vAlign w:val="center"/>
          </w:tcPr>
          <w:p w14:paraId="460C3A36" w14:textId="77777777" w:rsidR="001A4AD6" w:rsidRPr="00A31A52" w:rsidRDefault="00E2033C">
            <w:pPr>
              <w:jc w:val="center"/>
              <w:rPr>
                <w:b/>
              </w:rPr>
            </w:pPr>
            <w:r w:rsidRPr="00A31A52">
              <w:rPr>
                <w:b/>
              </w:rPr>
              <w:t>Monto mensual contratado</w:t>
            </w:r>
          </w:p>
        </w:tc>
        <w:tc>
          <w:tcPr>
            <w:tcW w:w="1355" w:type="dxa"/>
            <w:vAlign w:val="center"/>
          </w:tcPr>
          <w:p w14:paraId="5E21F24C" w14:textId="77777777" w:rsidR="001A4AD6" w:rsidRPr="00A31A52" w:rsidRDefault="00E2033C">
            <w:pPr>
              <w:jc w:val="center"/>
              <w:rPr>
                <w:b/>
              </w:rPr>
            </w:pPr>
            <w:r w:rsidRPr="00A31A52">
              <w:rPr>
                <w:b/>
              </w:rPr>
              <w:t>Duración del contrato</w:t>
            </w:r>
          </w:p>
        </w:tc>
        <w:tc>
          <w:tcPr>
            <w:tcW w:w="1857" w:type="dxa"/>
            <w:vAlign w:val="center"/>
          </w:tcPr>
          <w:p w14:paraId="57592ECA" w14:textId="77777777" w:rsidR="001A4AD6" w:rsidRPr="00A31A52" w:rsidRDefault="00E2033C">
            <w:pPr>
              <w:jc w:val="center"/>
              <w:rPr>
                <w:b/>
              </w:rPr>
            </w:pPr>
            <w:r w:rsidRPr="00A31A52">
              <w:rPr>
                <w:b/>
              </w:rPr>
              <w:t>Total de pagos de contrato</w:t>
            </w:r>
          </w:p>
        </w:tc>
        <w:tc>
          <w:tcPr>
            <w:tcW w:w="1540" w:type="dxa"/>
            <w:vAlign w:val="center"/>
          </w:tcPr>
          <w:p w14:paraId="1364EBC7" w14:textId="77777777" w:rsidR="001A4AD6" w:rsidRPr="00A31A52" w:rsidRDefault="00E2033C">
            <w:pPr>
              <w:jc w:val="center"/>
              <w:rPr>
                <w:b/>
              </w:rPr>
            </w:pPr>
            <w:r w:rsidRPr="00A31A52">
              <w:rPr>
                <w:b/>
              </w:rPr>
              <w:t>Total de pagos a realizar en el 2021</w:t>
            </w:r>
          </w:p>
        </w:tc>
        <w:tc>
          <w:tcPr>
            <w:tcW w:w="1854" w:type="dxa"/>
            <w:vAlign w:val="center"/>
          </w:tcPr>
          <w:p w14:paraId="21B5F674" w14:textId="1A9B1A2A" w:rsidR="001A4AD6" w:rsidRPr="00A31A52" w:rsidRDefault="00E2033C">
            <w:pPr>
              <w:jc w:val="center"/>
              <w:rPr>
                <w:b/>
              </w:rPr>
            </w:pPr>
            <w:r w:rsidRPr="00A31A52">
              <w:rPr>
                <w:b/>
              </w:rPr>
              <w:t>Pagos a realizar en ejercici</w:t>
            </w:r>
            <w:r w:rsidR="00955BB0" w:rsidRPr="00A31A52">
              <w:rPr>
                <w:b/>
              </w:rPr>
              <w:t>o 2022</w:t>
            </w:r>
          </w:p>
        </w:tc>
      </w:tr>
      <w:tr w:rsidR="001A4AD6" w:rsidRPr="00FC7DD6" w14:paraId="76E304CE" w14:textId="77777777" w:rsidTr="00B165FD">
        <w:trPr>
          <w:trHeight w:val="2970"/>
          <w:jc w:val="center"/>
        </w:trPr>
        <w:tc>
          <w:tcPr>
            <w:tcW w:w="2057" w:type="dxa"/>
            <w:vAlign w:val="center"/>
          </w:tcPr>
          <w:p w14:paraId="486F3ABF" w14:textId="77777777" w:rsidR="001A4AD6" w:rsidRPr="00A31A52" w:rsidRDefault="00E2033C">
            <w:pPr>
              <w:jc w:val="center"/>
            </w:pPr>
            <w:r w:rsidRPr="00A31A52">
              <w:t>Contrato edificio Inaip Yucatán</w:t>
            </w:r>
          </w:p>
        </w:tc>
        <w:tc>
          <w:tcPr>
            <w:tcW w:w="1499" w:type="dxa"/>
            <w:vAlign w:val="center"/>
          </w:tcPr>
          <w:p w14:paraId="229DA1C4" w14:textId="77777777" w:rsidR="001A4AD6" w:rsidRDefault="00E2033C">
            <w:pPr>
              <w:jc w:val="center"/>
            </w:pPr>
            <w:r w:rsidRPr="00A31A52">
              <w:t xml:space="preserve">$40,333.14 </w:t>
            </w:r>
            <w:r w:rsidR="00FC7DD6" w:rsidRPr="00A31A52">
              <w:t>más</w:t>
            </w:r>
            <w:r w:rsidRPr="00A31A52">
              <w:t xml:space="preserve"> IVA menos retenciones </w:t>
            </w:r>
            <w:r w:rsidR="00955BB0" w:rsidRPr="00A31A52">
              <w:t xml:space="preserve"> Ejercicio 2022 </w:t>
            </w:r>
            <w:r w:rsidRPr="00A31A52">
              <w:t>incremento establecido</w:t>
            </w:r>
            <w:r w:rsidR="00955BB0" w:rsidRPr="00A31A52">
              <w:t>.</w:t>
            </w:r>
          </w:p>
          <w:p w14:paraId="6E2D8B4C" w14:textId="2DA2BEC7" w:rsidR="005101EC" w:rsidRPr="00A31A52" w:rsidRDefault="005101EC" w:rsidP="005101EC">
            <w:pPr>
              <w:jc w:val="center"/>
            </w:pPr>
            <w:r>
              <w:t>(2%)</w:t>
            </w:r>
          </w:p>
        </w:tc>
        <w:tc>
          <w:tcPr>
            <w:tcW w:w="1355" w:type="dxa"/>
            <w:vAlign w:val="center"/>
          </w:tcPr>
          <w:p w14:paraId="6445E19C" w14:textId="4A33F950" w:rsidR="001A4AD6" w:rsidRPr="00A31A52" w:rsidRDefault="00E2033C" w:rsidP="00FC7DD6">
            <w:pPr>
              <w:jc w:val="center"/>
            </w:pPr>
            <w:r w:rsidRPr="00A31A52">
              <w:t>Del 01 de octubre de 2021 al 3</w:t>
            </w:r>
            <w:r w:rsidR="00FC7DD6" w:rsidRPr="00A31A52">
              <w:t>0</w:t>
            </w:r>
            <w:r w:rsidRPr="00A31A52">
              <w:t xml:space="preserve"> de </w:t>
            </w:r>
            <w:r w:rsidR="00FC7DD6" w:rsidRPr="00A31A52">
              <w:t xml:space="preserve">septiembre </w:t>
            </w:r>
            <w:r w:rsidRPr="00A31A52">
              <w:t>de 202</w:t>
            </w:r>
            <w:r w:rsidR="00955BB0" w:rsidRPr="00A31A52">
              <w:t>2</w:t>
            </w:r>
          </w:p>
        </w:tc>
        <w:tc>
          <w:tcPr>
            <w:tcW w:w="1857" w:type="dxa"/>
            <w:vAlign w:val="center"/>
          </w:tcPr>
          <w:p w14:paraId="67ED1960" w14:textId="3657D90F" w:rsidR="001A4AD6" w:rsidRPr="00A31A52" w:rsidRDefault="00E2033C">
            <w:pPr>
              <w:jc w:val="center"/>
            </w:pPr>
            <w:r w:rsidRPr="00A31A52">
              <w:t>1</w:t>
            </w:r>
            <w:r w:rsidR="00955BB0" w:rsidRPr="00A31A52">
              <w:t>2</w:t>
            </w:r>
            <w:r w:rsidRPr="00A31A52">
              <w:t xml:space="preserve"> meses</w:t>
            </w:r>
          </w:p>
        </w:tc>
        <w:tc>
          <w:tcPr>
            <w:tcW w:w="1540" w:type="dxa"/>
            <w:vAlign w:val="center"/>
          </w:tcPr>
          <w:p w14:paraId="0DF373CF" w14:textId="1F142E5C" w:rsidR="001A4AD6" w:rsidRPr="00A31A52" w:rsidRDefault="00955BB0">
            <w:pPr>
              <w:jc w:val="center"/>
            </w:pPr>
            <w:r w:rsidRPr="00A31A52">
              <w:t>3</w:t>
            </w:r>
            <w:r w:rsidR="00E2033C" w:rsidRPr="00A31A52">
              <w:t xml:space="preserve"> meses</w:t>
            </w:r>
          </w:p>
        </w:tc>
        <w:tc>
          <w:tcPr>
            <w:tcW w:w="1854" w:type="dxa"/>
            <w:vAlign w:val="center"/>
          </w:tcPr>
          <w:p w14:paraId="4FAE904F" w14:textId="0390F5E0" w:rsidR="001A4AD6" w:rsidRPr="00A31A52" w:rsidRDefault="00955BB0">
            <w:pPr>
              <w:jc w:val="center"/>
            </w:pPr>
            <w:r w:rsidRPr="00A31A52">
              <w:t>9</w:t>
            </w:r>
            <w:r w:rsidR="00E2033C" w:rsidRPr="00A31A52">
              <w:t xml:space="preserve"> meses</w:t>
            </w:r>
          </w:p>
        </w:tc>
      </w:tr>
    </w:tbl>
    <w:p w14:paraId="7E3C586E" w14:textId="77777777" w:rsidR="001A4AD6" w:rsidRPr="00FC7DD6" w:rsidRDefault="001A4AD6">
      <w:pPr>
        <w:jc w:val="both"/>
      </w:pPr>
    </w:p>
    <w:p w14:paraId="6C196F11" w14:textId="77777777" w:rsidR="001A4AD6" w:rsidRPr="00FC7DD6" w:rsidRDefault="00E2033C">
      <w:pPr>
        <w:jc w:val="both"/>
      </w:pPr>
      <w:r w:rsidRPr="00FC7DD6">
        <w:t>Del análisis minucioso realizado de lo anteriormente expuesto y fundado, el Pleno del Instituto Estatal de Transparencia, Acceso a la Información Pública y Protección de Datos Personales emite el siguiente:</w:t>
      </w:r>
    </w:p>
    <w:p w14:paraId="26C6C9CD" w14:textId="77777777" w:rsidR="001A4AD6" w:rsidRPr="00FC7DD6" w:rsidRDefault="00E2033C">
      <w:pPr>
        <w:jc w:val="center"/>
        <w:rPr>
          <w:b/>
        </w:rPr>
      </w:pPr>
      <w:r w:rsidRPr="00FC7DD6">
        <w:rPr>
          <w:b/>
        </w:rPr>
        <w:t>ACUERDO</w:t>
      </w:r>
    </w:p>
    <w:p w14:paraId="3338833B" w14:textId="0B7D1004" w:rsidR="001A4AD6" w:rsidRPr="00FC7DD6" w:rsidRDefault="00E2033C">
      <w:pPr>
        <w:jc w:val="both"/>
      </w:pPr>
      <w:bookmarkStart w:id="0" w:name="_gjdgxs" w:colFirst="0" w:colLast="0"/>
      <w:bookmarkEnd w:id="0"/>
      <w:r w:rsidRPr="00FC7DD6">
        <w:rPr>
          <w:b/>
        </w:rPr>
        <w:t>PRIMERO.-</w:t>
      </w:r>
      <w:r w:rsidRPr="00FC7DD6">
        <w:t xml:space="preserve"> Se procede a la autorización del pago de 1</w:t>
      </w:r>
      <w:r w:rsidR="00FC7DD6" w:rsidRPr="00FC7DD6">
        <w:t>2</w:t>
      </w:r>
      <w:r w:rsidRPr="00FC7DD6">
        <w:t xml:space="preserve"> meses de renta establecido en el contrato plurianual de arrendamiento del bien inmueble descrito en el considerando OCTAVO, en los términos propuestos en el presente acuerdo.</w:t>
      </w:r>
    </w:p>
    <w:p w14:paraId="1A0F4C65" w14:textId="77777777" w:rsidR="001A4AD6" w:rsidRDefault="00E2033C">
      <w:pPr>
        <w:jc w:val="both"/>
      </w:pPr>
      <w:r w:rsidRPr="00FC7DD6">
        <w:rPr>
          <w:b/>
        </w:rPr>
        <w:t xml:space="preserve">SEGUNDO.- </w:t>
      </w:r>
      <w:r w:rsidRPr="00FC7DD6">
        <w:t>El presente acuerdo se firma por duplicado, correspondiendo uno de los ejemplares a la Coordinación de Apoyo Plenario y el otro a la Dirección</w:t>
      </w:r>
      <w:r>
        <w:t xml:space="preserve"> de Administración y Finanzas, del Instituto Estatal de Transparencia, Acceso a la Información Pública y Protección de Datos Personales, respectivamente, para que en el ejercicio de sus funciones se sirva en dar trámite oportuno al presente.</w:t>
      </w:r>
    </w:p>
    <w:p w14:paraId="57F28FFD" w14:textId="77777777" w:rsidR="001A4AD6" w:rsidRDefault="00E2033C">
      <w:pPr>
        <w:spacing w:after="0"/>
        <w:jc w:val="both"/>
      </w:pPr>
      <w:r>
        <w:rPr>
          <w:b/>
        </w:rPr>
        <w:lastRenderedPageBreak/>
        <w:t xml:space="preserve">TERCERO.- </w:t>
      </w:r>
      <w:r>
        <w:t>Se instruye a la Coordinación de Apoyo Plenario para que realice los trámites correspondientes para la</w:t>
      </w:r>
      <w:r>
        <w:rPr>
          <w:b/>
        </w:rPr>
        <w:t xml:space="preserve"> </w:t>
      </w:r>
      <w:r>
        <w:t>publicación del presente acuerdo en la Página de Internet Oficial del Instituto Estatal de Transparencia, Acceso a la Información Pública y Protección de Datos Personales.</w:t>
      </w:r>
    </w:p>
    <w:p w14:paraId="0F8AB9D3" w14:textId="77777777" w:rsidR="001A4AD6" w:rsidRDefault="001A4AD6">
      <w:pPr>
        <w:pBdr>
          <w:top w:val="nil"/>
          <w:left w:val="nil"/>
          <w:bottom w:val="nil"/>
          <w:right w:val="nil"/>
          <w:between w:val="nil"/>
        </w:pBdr>
        <w:spacing w:after="0"/>
        <w:rPr>
          <w:color w:val="000000"/>
        </w:rPr>
      </w:pPr>
    </w:p>
    <w:p w14:paraId="5807901E" w14:textId="77777777" w:rsidR="001A4AD6" w:rsidRDefault="00E2033C">
      <w:pPr>
        <w:jc w:val="both"/>
      </w:pPr>
      <w:r>
        <w:t>Así lo acordaron y firman para debida constancia, los integrantes del Pleno del Instituto Estatal de Transparencia, Acceso a la Información Pública y Protección de Datos Personales:</w:t>
      </w:r>
    </w:p>
    <w:p w14:paraId="3530BF24" w14:textId="77777777" w:rsidR="001A4AD6" w:rsidRDefault="001A4AD6">
      <w:pPr>
        <w:jc w:val="both"/>
      </w:pPr>
    </w:p>
    <w:p w14:paraId="2A21A5AA" w14:textId="77777777" w:rsidR="001A4AD6" w:rsidRDefault="001A4AD6">
      <w:pPr>
        <w:jc w:val="both"/>
      </w:pPr>
    </w:p>
    <w:p w14:paraId="67DD3F93" w14:textId="77777777" w:rsidR="001A4AD6" w:rsidRDefault="001A4AD6">
      <w:pPr>
        <w:jc w:val="both"/>
      </w:pPr>
    </w:p>
    <w:p w14:paraId="2DDCDBEC" w14:textId="77777777" w:rsidR="001A4AD6" w:rsidRDefault="001A4AD6">
      <w:pPr>
        <w:jc w:val="both"/>
      </w:pPr>
    </w:p>
    <w:p w14:paraId="0CEDA755" w14:textId="77777777" w:rsidR="001A4AD6" w:rsidRDefault="001A4AD6">
      <w:pPr>
        <w:jc w:val="both"/>
      </w:pPr>
    </w:p>
    <w:tbl>
      <w:tblPr>
        <w:tblStyle w:val="a0"/>
        <w:tblW w:w="10041" w:type="dxa"/>
        <w:tblInd w:w="-593" w:type="dxa"/>
        <w:tblLayout w:type="fixed"/>
        <w:tblLook w:val="0400" w:firstRow="0" w:lastRow="0" w:firstColumn="0" w:lastColumn="0" w:noHBand="0" w:noVBand="1"/>
      </w:tblPr>
      <w:tblGrid>
        <w:gridCol w:w="5020"/>
        <w:gridCol w:w="5021"/>
      </w:tblGrid>
      <w:tr w:rsidR="001A4AD6" w14:paraId="09CF4FEC" w14:textId="77777777">
        <w:trPr>
          <w:trHeight w:val="859"/>
        </w:trPr>
        <w:tc>
          <w:tcPr>
            <w:tcW w:w="10041" w:type="dxa"/>
            <w:gridSpan w:val="2"/>
          </w:tcPr>
          <w:p w14:paraId="42FF6807" w14:textId="41F8A8C2" w:rsidR="00346F31" w:rsidRDefault="00346F31">
            <w:pPr>
              <w:pBdr>
                <w:top w:val="nil"/>
                <w:left w:val="nil"/>
                <w:bottom w:val="nil"/>
                <w:right w:val="nil"/>
                <w:between w:val="nil"/>
              </w:pBdr>
              <w:spacing w:after="0" w:line="240" w:lineRule="auto"/>
              <w:jc w:val="center"/>
              <w:rPr>
                <w:b/>
                <w:color w:val="000000"/>
              </w:rPr>
            </w:pPr>
            <w:r>
              <w:rPr>
                <w:b/>
                <w:color w:val="000000"/>
              </w:rPr>
              <w:t>(RÚBRICA)</w:t>
            </w:r>
          </w:p>
          <w:p w14:paraId="40B94447" w14:textId="77777777" w:rsidR="00346F31" w:rsidRDefault="00346F31">
            <w:pPr>
              <w:pBdr>
                <w:top w:val="nil"/>
                <w:left w:val="nil"/>
                <w:bottom w:val="nil"/>
                <w:right w:val="nil"/>
                <w:between w:val="nil"/>
              </w:pBdr>
              <w:spacing w:after="0" w:line="240" w:lineRule="auto"/>
              <w:jc w:val="center"/>
              <w:rPr>
                <w:b/>
                <w:color w:val="000000"/>
              </w:rPr>
            </w:pPr>
          </w:p>
          <w:p w14:paraId="14391D02" w14:textId="455AAF2F" w:rsidR="001A4AD6" w:rsidRDefault="00E2033C">
            <w:pPr>
              <w:pBdr>
                <w:top w:val="nil"/>
                <w:left w:val="nil"/>
                <w:bottom w:val="nil"/>
                <w:right w:val="nil"/>
                <w:between w:val="nil"/>
              </w:pBdr>
              <w:spacing w:after="0" w:line="240" w:lineRule="auto"/>
              <w:jc w:val="center"/>
              <w:rPr>
                <w:b/>
                <w:color w:val="000000"/>
              </w:rPr>
            </w:pPr>
            <w:r>
              <w:rPr>
                <w:b/>
                <w:color w:val="000000"/>
              </w:rPr>
              <w:t>MTRA. MARÍA GILDA SEGOVIA CHAB</w:t>
            </w:r>
          </w:p>
          <w:p w14:paraId="6E1A80E2" w14:textId="77777777" w:rsidR="001A4AD6" w:rsidRDefault="00E2033C">
            <w:pPr>
              <w:pBdr>
                <w:top w:val="nil"/>
                <w:left w:val="nil"/>
                <w:bottom w:val="nil"/>
                <w:right w:val="nil"/>
                <w:between w:val="nil"/>
              </w:pBdr>
              <w:spacing w:after="0" w:line="240" w:lineRule="auto"/>
              <w:jc w:val="center"/>
              <w:rPr>
                <w:b/>
                <w:color w:val="000000"/>
              </w:rPr>
            </w:pPr>
            <w:r>
              <w:rPr>
                <w:b/>
                <w:color w:val="000000"/>
              </w:rPr>
              <w:t>COMISIONADA PRESIDENTA</w:t>
            </w:r>
          </w:p>
        </w:tc>
      </w:tr>
      <w:tr w:rsidR="001A4AD6" w14:paraId="760341A7" w14:textId="77777777">
        <w:trPr>
          <w:trHeight w:val="859"/>
        </w:trPr>
        <w:tc>
          <w:tcPr>
            <w:tcW w:w="5020" w:type="dxa"/>
          </w:tcPr>
          <w:p w14:paraId="7139C0E9" w14:textId="77777777" w:rsidR="001A4AD6" w:rsidRDefault="001A4AD6">
            <w:pPr>
              <w:pBdr>
                <w:top w:val="nil"/>
                <w:left w:val="nil"/>
                <w:bottom w:val="nil"/>
                <w:right w:val="nil"/>
                <w:between w:val="nil"/>
              </w:pBdr>
              <w:spacing w:after="0" w:line="240" w:lineRule="auto"/>
              <w:rPr>
                <w:b/>
                <w:color w:val="000000"/>
              </w:rPr>
            </w:pPr>
          </w:p>
          <w:p w14:paraId="4FAAA2FB" w14:textId="77777777" w:rsidR="001A4AD6" w:rsidRDefault="001A4AD6">
            <w:pPr>
              <w:pBdr>
                <w:top w:val="nil"/>
                <w:left w:val="nil"/>
                <w:bottom w:val="nil"/>
                <w:right w:val="nil"/>
                <w:between w:val="nil"/>
              </w:pBdr>
              <w:spacing w:after="0" w:line="240" w:lineRule="auto"/>
              <w:rPr>
                <w:b/>
                <w:color w:val="000000"/>
              </w:rPr>
            </w:pPr>
          </w:p>
          <w:p w14:paraId="603B463B" w14:textId="77777777" w:rsidR="001A4AD6" w:rsidRDefault="001A4AD6">
            <w:pPr>
              <w:pBdr>
                <w:top w:val="nil"/>
                <w:left w:val="nil"/>
                <w:bottom w:val="nil"/>
                <w:right w:val="nil"/>
                <w:between w:val="nil"/>
              </w:pBdr>
              <w:spacing w:after="0" w:line="240" w:lineRule="auto"/>
              <w:rPr>
                <w:b/>
                <w:color w:val="000000"/>
              </w:rPr>
            </w:pPr>
          </w:p>
          <w:p w14:paraId="5D023779" w14:textId="77777777" w:rsidR="001A4AD6" w:rsidRDefault="001A4AD6">
            <w:pPr>
              <w:pBdr>
                <w:top w:val="nil"/>
                <w:left w:val="nil"/>
                <w:bottom w:val="nil"/>
                <w:right w:val="nil"/>
                <w:between w:val="nil"/>
              </w:pBdr>
              <w:spacing w:after="0" w:line="240" w:lineRule="auto"/>
              <w:rPr>
                <w:b/>
                <w:color w:val="000000"/>
              </w:rPr>
            </w:pPr>
          </w:p>
          <w:p w14:paraId="39170854" w14:textId="77777777" w:rsidR="001A4AD6" w:rsidRDefault="001A4AD6">
            <w:pPr>
              <w:pBdr>
                <w:top w:val="nil"/>
                <w:left w:val="nil"/>
                <w:bottom w:val="nil"/>
                <w:right w:val="nil"/>
                <w:between w:val="nil"/>
              </w:pBdr>
              <w:spacing w:after="0" w:line="240" w:lineRule="auto"/>
              <w:rPr>
                <w:b/>
                <w:color w:val="000000"/>
              </w:rPr>
            </w:pPr>
          </w:p>
          <w:p w14:paraId="7BF73B2B" w14:textId="77777777" w:rsidR="005A06A9" w:rsidRDefault="005A06A9">
            <w:pPr>
              <w:pBdr>
                <w:top w:val="nil"/>
                <w:left w:val="nil"/>
                <w:bottom w:val="nil"/>
                <w:right w:val="nil"/>
                <w:between w:val="nil"/>
              </w:pBdr>
              <w:spacing w:after="0" w:line="240" w:lineRule="auto"/>
              <w:rPr>
                <w:b/>
                <w:color w:val="000000"/>
              </w:rPr>
            </w:pPr>
          </w:p>
          <w:p w14:paraId="56A5D06A" w14:textId="77777777" w:rsidR="005A06A9" w:rsidRDefault="005A06A9">
            <w:pPr>
              <w:pBdr>
                <w:top w:val="nil"/>
                <w:left w:val="nil"/>
                <w:bottom w:val="nil"/>
                <w:right w:val="nil"/>
                <w:between w:val="nil"/>
              </w:pBdr>
              <w:spacing w:after="0" w:line="240" w:lineRule="auto"/>
              <w:rPr>
                <w:b/>
                <w:color w:val="000000"/>
              </w:rPr>
            </w:pPr>
          </w:p>
          <w:p w14:paraId="32394CA6" w14:textId="77777777" w:rsidR="005A06A9" w:rsidRDefault="005A06A9">
            <w:pPr>
              <w:pBdr>
                <w:top w:val="nil"/>
                <w:left w:val="nil"/>
                <w:bottom w:val="nil"/>
                <w:right w:val="nil"/>
                <w:between w:val="nil"/>
              </w:pBdr>
              <w:spacing w:after="0" w:line="240" w:lineRule="auto"/>
              <w:rPr>
                <w:b/>
                <w:color w:val="000000"/>
              </w:rPr>
            </w:pPr>
          </w:p>
          <w:p w14:paraId="43A76385" w14:textId="77777777" w:rsidR="001A4AD6" w:rsidRDefault="001A4AD6">
            <w:pPr>
              <w:pBdr>
                <w:top w:val="nil"/>
                <w:left w:val="nil"/>
                <w:bottom w:val="nil"/>
                <w:right w:val="nil"/>
                <w:between w:val="nil"/>
              </w:pBdr>
              <w:spacing w:after="0" w:line="240" w:lineRule="auto"/>
              <w:rPr>
                <w:b/>
                <w:color w:val="000000"/>
              </w:rPr>
            </w:pPr>
          </w:p>
          <w:p w14:paraId="1E7D3EAC" w14:textId="77777777" w:rsidR="00346F31" w:rsidRDefault="00346F31" w:rsidP="00346F31">
            <w:pPr>
              <w:pBdr>
                <w:top w:val="nil"/>
                <w:left w:val="nil"/>
                <w:bottom w:val="nil"/>
                <w:right w:val="nil"/>
                <w:between w:val="nil"/>
              </w:pBdr>
              <w:spacing w:after="0" w:line="240" w:lineRule="auto"/>
              <w:jc w:val="center"/>
              <w:rPr>
                <w:b/>
                <w:color w:val="000000"/>
              </w:rPr>
            </w:pPr>
            <w:r>
              <w:rPr>
                <w:b/>
                <w:color w:val="000000"/>
              </w:rPr>
              <w:t>(RÚBRICA)</w:t>
            </w:r>
          </w:p>
          <w:p w14:paraId="07A1B977" w14:textId="77777777" w:rsidR="001A4AD6" w:rsidRDefault="001A4AD6">
            <w:pPr>
              <w:pBdr>
                <w:top w:val="nil"/>
                <w:left w:val="nil"/>
                <w:bottom w:val="nil"/>
                <w:right w:val="nil"/>
                <w:between w:val="nil"/>
              </w:pBdr>
              <w:spacing w:after="0" w:line="240" w:lineRule="auto"/>
              <w:rPr>
                <w:b/>
                <w:color w:val="000000"/>
              </w:rPr>
            </w:pPr>
          </w:p>
          <w:p w14:paraId="6254BD08" w14:textId="77777777" w:rsidR="001A4AD6" w:rsidRDefault="00E2033C">
            <w:pPr>
              <w:pBdr>
                <w:top w:val="nil"/>
                <w:left w:val="nil"/>
                <w:bottom w:val="nil"/>
                <w:right w:val="nil"/>
                <w:between w:val="nil"/>
              </w:pBdr>
              <w:spacing w:after="0" w:line="240" w:lineRule="auto"/>
              <w:jc w:val="center"/>
              <w:rPr>
                <w:b/>
                <w:color w:val="000000"/>
              </w:rPr>
            </w:pPr>
            <w:r>
              <w:rPr>
                <w:b/>
                <w:color w:val="000000"/>
              </w:rPr>
              <w:t>DR. ALDRIN MARTIN BRICEÑO CONRADO</w:t>
            </w:r>
          </w:p>
          <w:p w14:paraId="67E4BB96" w14:textId="77777777" w:rsidR="001A4AD6" w:rsidRDefault="00E2033C">
            <w:pPr>
              <w:pBdr>
                <w:top w:val="nil"/>
                <w:left w:val="nil"/>
                <w:bottom w:val="nil"/>
                <w:right w:val="nil"/>
                <w:between w:val="nil"/>
              </w:pBdr>
              <w:spacing w:after="0" w:line="240" w:lineRule="auto"/>
              <w:jc w:val="center"/>
              <w:rPr>
                <w:b/>
                <w:color w:val="000000"/>
              </w:rPr>
            </w:pPr>
            <w:r>
              <w:rPr>
                <w:b/>
                <w:color w:val="000000"/>
              </w:rPr>
              <w:t xml:space="preserve">COMISIONADO </w:t>
            </w:r>
          </w:p>
        </w:tc>
        <w:tc>
          <w:tcPr>
            <w:tcW w:w="5021" w:type="dxa"/>
          </w:tcPr>
          <w:p w14:paraId="4CFD67F8" w14:textId="77777777" w:rsidR="001A4AD6" w:rsidRDefault="001A4AD6">
            <w:pPr>
              <w:pBdr>
                <w:top w:val="nil"/>
                <w:left w:val="nil"/>
                <w:bottom w:val="nil"/>
                <w:right w:val="nil"/>
                <w:between w:val="nil"/>
              </w:pBdr>
              <w:spacing w:after="0" w:line="240" w:lineRule="auto"/>
              <w:jc w:val="center"/>
              <w:rPr>
                <w:b/>
                <w:color w:val="000000"/>
              </w:rPr>
            </w:pPr>
          </w:p>
          <w:p w14:paraId="308A8650" w14:textId="77777777" w:rsidR="001A4AD6" w:rsidRDefault="001A4AD6">
            <w:pPr>
              <w:pBdr>
                <w:top w:val="nil"/>
                <w:left w:val="nil"/>
                <w:bottom w:val="nil"/>
                <w:right w:val="nil"/>
                <w:between w:val="nil"/>
              </w:pBdr>
              <w:spacing w:after="0" w:line="240" w:lineRule="auto"/>
              <w:jc w:val="center"/>
              <w:rPr>
                <w:b/>
                <w:color w:val="000000"/>
              </w:rPr>
            </w:pPr>
          </w:p>
          <w:p w14:paraId="4D4F7025" w14:textId="77777777" w:rsidR="001A4AD6" w:rsidRDefault="001A4AD6">
            <w:pPr>
              <w:pBdr>
                <w:top w:val="nil"/>
                <w:left w:val="nil"/>
                <w:bottom w:val="nil"/>
                <w:right w:val="nil"/>
                <w:between w:val="nil"/>
              </w:pBdr>
              <w:spacing w:after="0" w:line="240" w:lineRule="auto"/>
              <w:jc w:val="center"/>
              <w:rPr>
                <w:b/>
                <w:color w:val="000000"/>
              </w:rPr>
            </w:pPr>
          </w:p>
          <w:p w14:paraId="7B8E2769" w14:textId="77777777" w:rsidR="001A4AD6" w:rsidRDefault="001A4AD6">
            <w:pPr>
              <w:pBdr>
                <w:top w:val="nil"/>
                <w:left w:val="nil"/>
                <w:bottom w:val="nil"/>
                <w:right w:val="nil"/>
                <w:between w:val="nil"/>
              </w:pBdr>
              <w:spacing w:after="0" w:line="240" w:lineRule="auto"/>
              <w:jc w:val="center"/>
              <w:rPr>
                <w:b/>
                <w:color w:val="000000"/>
              </w:rPr>
            </w:pPr>
          </w:p>
          <w:p w14:paraId="178ADD89" w14:textId="77777777" w:rsidR="001A4AD6" w:rsidRDefault="001A4AD6">
            <w:pPr>
              <w:pBdr>
                <w:top w:val="nil"/>
                <w:left w:val="nil"/>
                <w:bottom w:val="nil"/>
                <w:right w:val="nil"/>
                <w:between w:val="nil"/>
              </w:pBdr>
              <w:spacing w:after="0" w:line="240" w:lineRule="auto"/>
              <w:jc w:val="center"/>
              <w:rPr>
                <w:b/>
                <w:color w:val="000000"/>
              </w:rPr>
            </w:pPr>
          </w:p>
          <w:p w14:paraId="456183F2" w14:textId="77777777" w:rsidR="001A4AD6" w:rsidRDefault="001A4AD6">
            <w:pPr>
              <w:pBdr>
                <w:top w:val="nil"/>
                <w:left w:val="nil"/>
                <w:bottom w:val="nil"/>
                <w:right w:val="nil"/>
                <w:between w:val="nil"/>
              </w:pBdr>
              <w:spacing w:after="0" w:line="240" w:lineRule="auto"/>
              <w:jc w:val="center"/>
              <w:rPr>
                <w:b/>
                <w:color w:val="000000"/>
              </w:rPr>
            </w:pPr>
          </w:p>
          <w:p w14:paraId="5B3E437C" w14:textId="77777777" w:rsidR="005A06A9" w:rsidRDefault="005A06A9">
            <w:pPr>
              <w:pBdr>
                <w:top w:val="nil"/>
                <w:left w:val="nil"/>
                <w:bottom w:val="nil"/>
                <w:right w:val="nil"/>
                <w:between w:val="nil"/>
              </w:pBdr>
              <w:spacing w:after="0" w:line="240" w:lineRule="auto"/>
              <w:jc w:val="center"/>
              <w:rPr>
                <w:b/>
                <w:color w:val="000000"/>
              </w:rPr>
            </w:pPr>
          </w:p>
          <w:p w14:paraId="7EAFDB50" w14:textId="77777777" w:rsidR="005A06A9" w:rsidRDefault="005A06A9">
            <w:pPr>
              <w:pBdr>
                <w:top w:val="nil"/>
                <w:left w:val="nil"/>
                <w:bottom w:val="nil"/>
                <w:right w:val="nil"/>
                <w:between w:val="nil"/>
              </w:pBdr>
              <w:spacing w:after="0" w:line="240" w:lineRule="auto"/>
              <w:jc w:val="center"/>
              <w:rPr>
                <w:b/>
                <w:color w:val="000000"/>
              </w:rPr>
            </w:pPr>
          </w:p>
          <w:p w14:paraId="3B7D8226" w14:textId="77777777" w:rsidR="005A06A9" w:rsidRDefault="005A06A9">
            <w:pPr>
              <w:pBdr>
                <w:top w:val="nil"/>
                <w:left w:val="nil"/>
                <w:bottom w:val="nil"/>
                <w:right w:val="nil"/>
                <w:between w:val="nil"/>
              </w:pBdr>
              <w:spacing w:after="0" w:line="240" w:lineRule="auto"/>
              <w:jc w:val="center"/>
              <w:rPr>
                <w:b/>
                <w:color w:val="000000"/>
              </w:rPr>
            </w:pPr>
          </w:p>
          <w:p w14:paraId="45DA0F05" w14:textId="77777777" w:rsidR="00346F31" w:rsidRDefault="00346F31" w:rsidP="00346F31">
            <w:pPr>
              <w:pBdr>
                <w:top w:val="nil"/>
                <w:left w:val="nil"/>
                <w:bottom w:val="nil"/>
                <w:right w:val="nil"/>
                <w:between w:val="nil"/>
              </w:pBdr>
              <w:spacing w:after="0" w:line="240" w:lineRule="auto"/>
              <w:jc w:val="center"/>
              <w:rPr>
                <w:b/>
                <w:color w:val="000000"/>
              </w:rPr>
            </w:pPr>
            <w:r>
              <w:rPr>
                <w:b/>
                <w:color w:val="000000"/>
              </w:rPr>
              <w:t>(RÚBRICA)</w:t>
            </w:r>
          </w:p>
          <w:p w14:paraId="490FB713" w14:textId="77777777" w:rsidR="001A4AD6" w:rsidRDefault="001A4AD6">
            <w:pPr>
              <w:pBdr>
                <w:top w:val="nil"/>
                <w:left w:val="nil"/>
                <w:bottom w:val="nil"/>
                <w:right w:val="nil"/>
                <w:between w:val="nil"/>
              </w:pBdr>
              <w:spacing w:after="0" w:line="240" w:lineRule="auto"/>
              <w:jc w:val="center"/>
              <w:rPr>
                <w:b/>
                <w:color w:val="000000"/>
              </w:rPr>
            </w:pPr>
          </w:p>
          <w:p w14:paraId="7AEF3DC6" w14:textId="77777777" w:rsidR="001A4AD6" w:rsidRDefault="00E2033C">
            <w:pPr>
              <w:pBdr>
                <w:top w:val="nil"/>
                <w:left w:val="nil"/>
                <w:bottom w:val="nil"/>
                <w:right w:val="nil"/>
                <w:between w:val="nil"/>
              </w:pBdr>
              <w:spacing w:after="0" w:line="240" w:lineRule="auto"/>
              <w:jc w:val="center"/>
              <w:rPr>
                <w:b/>
                <w:color w:val="000000"/>
              </w:rPr>
            </w:pPr>
            <w:r>
              <w:rPr>
                <w:b/>
                <w:color w:val="000000"/>
              </w:rPr>
              <w:t>DR. CARLOS FERNANDO PAVÓN DURÁN</w:t>
            </w:r>
          </w:p>
          <w:p w14:paraId="4721C805" w14:textId="77777777" w:rsidR="001A4AD6" w:rsidRDefault="00E2033C">
            <w:pPr>
              <w:pBdr>
                <w:top w:val="nil"/>
                <w:left w:val="nil"/>
                <w:bottom w:val="nil"/>
                <w:right w:val="nil"/>
                <w:between w:val="nil"/>
              </w:pBdr>
              <w:spacing w:after="0" w:line="240" w:lineRule="auto"/>
              <w:jc w:val="center"/>
              <w:rPr>
                <w:b/>
                <w:color w:val="000000"/>
              </w:rPr>
            </w:pPr>
            <w:r>
              <w:rPr>
                <w:b/>
                <w:color w:val="000000"/>
              </w:rPr>
              <w:t>COMISIONADO</w:t>
            </w:r>
          </w:p>
        </w:tc>
      </w:tr>
    </w:tbl>
    <w:p w14:paraId="75FA9BB3" w14:textId="77777777" w:rsidR="001A4AD6" w:rsidRDefault="001A4AD6">
      <w:pPr>
        <w:jc w:val="both"/>
      </w:pPr>
    </w:p>
    <w:p w14:paraId="2A3421EE" w14:textId="77777777" w:rsidR="001A4AD6" w:rsidRDefault="001A4AD6"/>
    <w:sectPr w:rsidR="001A4AD6">
      <w:headerReference w:type="default" r:id="rId6"/>
      <w:footerReference w:type="default" r:id="rId7"/>
      <w:pgSz w:w="12240" w:h="15840"/>
      <w:pgMar w:top="1418" w:right="170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FE822" w14:textId="77777777" w:rsidR="00E2033C" w:rsidRDefault="00E2033C">
      <w:pPr>
        <w:spacing w:after="0" w:line="240" w:lineRule="auto"/>
      </w:pPr>
      <w:r>
        <w:separator/>
      </w:r>
    </w:p>
  </w:endnote>
  <w:endnote w:type="continuationSeparator" w:id="0">
    <w:p w14:paraId="5F890CCD" w14:textId="77777777" w:rsidR="00E2033C" w:rsidRDefault="00E2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378B" w14:textId="19735B9E" w:rsidR="001A4AD6" w:rsidRDefault="00E2033C">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5A06A9">
      <w:rPr>
        <w:noProof/>
        <w:color w:val="000000"/>
        <w:sz w:val="18"/>
        <w:szCs w:val="18"/>
      </w:rPr>
      <w:t>3</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5A06A9">
      <w:rPr>
        <w:noProof/>
        <w:color w:val="000000"/>
        <w:sz w:val="18"/>
        <w:szCs w:val="18"/>
      </w:rPr>
      <w:t>3</w:t>
    </w:r>
    <w:r>
      <w:rPr>
        <w:color w:val="000000"/>
        <w:sz w:val="18"/>
        <w:szCs w:val="18"/>
      </w:rPr>
      <w:fldChar w:fldCharType="end"/>
    </w:r>
  </w:p>
  <w:p w14:paraId="5E887A6E" w14:textId="77777777" w:rsidR="001A4AD6" w:rsidRDefault="001A4AD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633F" w14:textId="77777777" w:rsidR="00E2033C" w:rsidRDefault="00E2033C">
      <w:pPr>
        <w:spacing w:after="0" w:line="240" w:lineRule="auto"/>
      </w:pPr>
      <w:r>
        <w:separator/>
      </w:r>
    </w:p>
  </w:footnote>
  <w:footnote w:type="continuationSeparator" w:id="0">
    <w:p w14:paraId="18CD94E5" w14:textId="77777777" w:rsidR="00E2033C" w:rsidRDefault="00E20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0A49" w14:textId="77777777" w:rsidR="001A4AD6" w:rsidRDefault="00E2033C">
    <w:pPr>
      <w:pBdr>
        <w:top w:val="nil"/>
        <w:left w:val="nil"/>
        <w:bottom w:val="nil"/>
        <w:right w:val="nil"/>
        <w:between w:val="nil"/>
      </w:pBdr>
      <w:tabs>
        <w:tab w:val="center" w:pos="4419"/>
        <w:tab w:val="right" w:pos="8838"/>
      </w:tabs>
      <w:spacing w:after="0" w:line="240" w:lineRule="auto"/>
      <w:rPr>
        <w:color w:val="000000"/>
      </w:rPr>
    </w:pPr>
    <w:r>
      <w:rPr>
        <w:noProof/>
        <w:lang w:val="es-ES" w:eastAsia="es-ES"/>
      </w:rPr>
      <w:drawing>
        <wp:anchor distT="0" distB="0" distL="114300" distR="114300" simplePos="0" relativeHeight="251658240" behindDoc="0" locked="0" layoutInCell="1" hidden="0" allowOverlap="1" wp14:anchorId="7FDC13A4" wp14:editId="38EA7F5A">
          <wp:simplePos x="0" y="0"/>
          <wp:positionH relativeFrom="column">
            <wp:posOffset>-480059</wp:posOffset>
          </wp:positionH>
          <wp:positionV relativeFrom="paragraph">
            <wp:posOffset>-161924</wp:posOffset>
          </wp:positionV>
          <wp:extent cx="6496050" cy="676275"/>
          <wp:effectExtent l="0" t="0" r="0" b="0"/>
          <wp:wrapSquare wrapText="bothSides" distT="0" distB="0" distL="114300" distR="114300"/>
          <wp:docPr id="1" name="image1.png" descr="\\NASINAIP2\ApoyoPlenario\CAPAA2016\LOGOS\logos 30Junio16\LogoINAIP-01.jpg"/>
          <wp:cNvGraphicFramePr/>
          <a:graphic xmlns:a="http://schemas.openxmlformats.org/drawingml/2006/main">
            <a:graphicData uri="http://schemas.openxmlformats.org/drawingml/2006/picture">
              <pic:pic xmlns:pic="http://schemas.openxmlformats.org/drawingml/2006/picture">
                <pic:nvPicPr>
                  <pic:cNvPr id="0" name="image1.png" descr="\\NASINAIP2\ApoyoPlenario\CAPAA2016\LOGOS\logos 30Junio16\LogoINAIP-01.jpg"/>
                  <pic:cNvPicPr preferRelativeResize="0"/>
                </pic:nvPicPr>
                <pic:blipFill>
                  <a:blip r:embed="rId1"/>
                  <a:srcRect/>
                  <a:stretch>
                    <a:fillRect/>
                  </a:stretch>
                </pic:blipFill>
                <pic:spPr>
                  <a:xfrm>
                    <a:off x="0" y="0"/>
                    <a:ext cx="6496050" cy="6762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AD6"/>
    <w:rsid w:val="0006366B"/>
    <w:rsid w:val="000B7049"/>
    <w:rsid w:val="00164C8F"/>
    <w:rsid w:val="001A4AD6"/>
    <w:rsid w:val="00232056"/>
    <w:rsid w:val="00272785"/>
    <w:rsid w:val="00346F31"/>
    <w:rsid w:val="003A0592"/>
    <w:rsid w:val="00407A6B"/>
    <w:rsid w:val="004F58A5"/>
    <w:rsid w:val="005101EC"/>
    <w:rsid w:val="00515D3F"/>
    <w:rsid w:val="005A06A9"/>
    <w:rsid w:val="005F4356"/>
    <w:rsid w:val="0085296A"/>
    <w:rsid w:val="00955BB0"/>
    <w:rsid w:val="00A31A52"/>
    <w:rsid w:val="00B165FD"/>
    <w:rsid w:val="00CF2975"/>
    <w:rsid w:val="00D61686"/>
    <w:rsid w:val="00D63D20"/>
    <w:rsid w:val="00E2033C"/>
    <w:rsid w:val="00FC7DD6"/>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D73C"/>
  <w15:docId w15:val="{364494E8-5298-4D28-B07D-BBDECC24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C7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885</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Administración</dc:creator>
  <cp:lastModifiedBy>Dirección de Asuntos Jurídicos  y Plenarios</cp:lastModifiedBy>
  <cp:revision>14</cp:revision>
  <cp:lastPrinted>2021-10-19T21:05:00Z</cp:lastPrinted>
  <dcterms:created xsi:type="dcterms:W3CDTF">2021-10-13T16:17:00Z</dcterms:created>
  <dcterms:modified xsi:type="dcterms:W3CDTF">2025-01-13T16:03:00Z</dcterms:modified>
</cp:coreProperties>
</file>